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9" w:type="dxa"/>
        <w:jc w:val="center"/>
        <w:tblLayout w:type="fixed"/>
        <w:tblLook w:val="0000" w:firstRow="0" w:lastRow="0" w:firstColumn="0" w:lastColumn="0" w:noHBand="0" w:noVBand="0"/>
      </w:tblPr>
      <w:tblGrid>
        <w:gridCol w:w="3402"/>
        <w:gridCol w:w="5837"/>
      </w:tblGrid>
      <w:tr w:rsidR="000964C4" w:rsidRPr="00EE15ED" w:rsidTr="000964C4">
        <w:trPr>
          <w:trHeight w:val="276"/>
          <w:jc w:val="center"/>
        </w:trPr>
        <w:tc>
          <w:tcPr>
            <w:tcW w:w="3402" w:type="dxa"/>
            <w:vMerge w:val="restart"/>
          </w:tcPr>
          <w:p w:rsidR="000964C4" w:rsidRPr="00EE15ED" w:rsidRDefault="00C76F0E" w:rsidP="00DE2616">
            <w:pPr>
              <w:spacing w:before="0" w:after="0"/>
              <w:jc w:val="center"/>
              <w:rPr>
                <w:rFonts w:eastAsia="Times New Roman"/>
                <w:b/>
                <w:bCs/>
                <w:sz w:val="24"/>
                <w:szCs w:val="24"/>
                <w:lang w:val="nl-NL"/>
              </w:rPr>
            </w:pPr>
            <w:r>
              <w:rPr>
                <w:rFonts w:eastAsia="Times New Roman"/>
                <w:b/>
                <w:bCs/>
                <w:sz w:val="26"/>
                <w:szCs w:val="26"/>
                <w:lang w:val="nl-NL"/>
              </w:rPr>
              <w:t>CHÍNH PHỦ</w:t>
            </w:r>
          </w:p>
          <w:p w:rsidR="000964C4" w:rsidRPr="00EE15ED" w:rsidRDefault="000420FC" w:rsidP="00DE2616">
            <w:pPr>
              <w:spacing w:before="0" w:after="0"/>
              <w:jc w:val="center"/>
              <w:rPr>
                <w:rFonts w:eastAsia="Times New Roman"/>
                <w:sz w:val="16"/>
                <w:szCs w:val="16"/>
                <w:lang w:val="nl-NL"/>
              </w:rPr>
            </w:pPr>
            <w:r>
              <w:rPr>
                <w:rFonts w:eastAsia="Times New Roman"/>
                <w:b/>
                <w:bCs/>
                <w:noProof/>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66.8pt;margin-top:5.95pt;width:21.6pt;height:0;z-index:251658240" o:connectortype="straight"/>
              </w:pict>
            </w:r>
            <w:r w:rsidR="001272C6">
              <w:rPr>
                <w:rFonts w:ascii=".VnFree" w:eastAsia="Times New Roman" w:hAnsi=".VnFree"/>
                <w:sz w:val="16"/>
                <w:szCs w:val="16"/>
                <w:lang w:val="nl-NL"/>
              </w:rPr>
              <w:t xml:space="preserve"> </w:t>
            </w:r>
          </w:p>
          <w:p w:rsidR="000964C4" w:rsidRPr="00EE15ED" w:rsidRDefault="000964C4" w:rsidP="00DE2616">
            <w:pPr>
              <w:spacing w:before="0" w:after="0"/>
              <w:jc w:val="center"/>
              <w:rPr>
                <w:rFonts w:eastAsia="Times New Roman"/>
                <w:sz w:val="26"/>
                <w:szCs w:val="24"/>
                <w:lang w:val="nl-NL"/>
              </w:rPr>
            </w:pPr>
          </w:p>
          <w:p w:rsidR="000964C4" w:rsidRPr="00EE15ED" w:rsidRDefault="000964C4" w:rsidP="00DE2616">
            <w:pPr>
              <w:spacing w:before="0" w:after="0"/>
              <w:jc w:val="center"/>
              <w:rPr>
                <w:rFonts w:eastAsia="Times New Roman"/>
                <w:sz w:val="24"/>
                <w:szCs w:val="24"/>
                <w:lang w:val="nl-NL"/>
              </w:rPr>
            </w:pPr>
            <w:r w:rsidRPr="00EE15ED">
              <w:rPr>
                <w:rFonts w:eastAsia="Times New Roman"/>
                <w:sz w:val="26"/>
                <w:szCs w:val="24"/>
                <w:lang w:val="nl-NL"/>
              </w:rPr>
              <w:t>Số:</w:t>
            </w:r>
            <w:r w:rsidR="00CF1409" w:rsidRPr="00EE15ED">
              <w:rPr>
                <w:rFonts w:eastAsia="Times New Roman"/>
                <w:sz w:val="26"/>
                <w:szCs w:val="24"/>
                <w:lang w:val="nl-NL"/>
              </w:rPr>
              <w:t xml:space="preserve"> </w:t>
            </w:r>
            <w:r w:rsidR="00E5182B" w:rsidRPr="00EE15ED">
              <w:rPr>
                <w:rFonts w:eastAsia="Times New Roman"/>
                <w:sz w:val="26"/>
                <w:szCs w:val="24"/>
                <w:lang w:val="nl-NL"/>
              </w:rPr>
              <w:t xml:space="preserve"> </w:t>
            </w:r>
            <w:r w:rsidR="00676AF9">
              <w:rPr>
                <w:rFonts w:eastAsia="Times New Roman"/>
                <w:sz w:val="26"/>
                <w:szCs w:val="24"/>
                <w:lang w:val="nl-NL"/>
              </w:rPr>
              <w:t>792</w:t>
            </w:r>
            <w:r w:rsidRPr="00EE15ED">
              <w:rPr>
                <w:rFonts w:eastAsia="Times New Roman"/>
                <w:sz w:val="26"/>
                <w:szCs w:val="24"/>
                <w:lang w:val="nl-NL"/>
              </w:rPr>
              <w:t>/</w:t>
            </w:r>
            <w:r w:rsidR="00714BA8" w:rsidRPr="00EE15ED">
              <w:rPr>
                <w:rFonts w:eastAsia="Times New Roman"/>
                <w:sz w:val="26"/>
                <w:szCs w:val="24"/>
                <w:lang w:val="nl-NL"/>
              </w:rPr>
              <w:t>TTr-</w:t>
            </w:r>
            <w:r w:rsidR="00C76F0E">
              <w:rPr>
                <w:rFonts w:eastAsia="Times New Roman"/>
                <w:sz w:val="26"/>
                <w:szCs w:val="24"/>
                <w:lang w:val="nl-NL"/>
              </w:rPr>
              <w:t>CP</w:t>
            </w:r>
          </w:p>
          <w:p w:rsidR="000964C4" w:rsidRPr="00EE15ED" w:rsidRDefault="000964C4" w:rsidP="00CA147C">
            <w:pPr>
              <w:spacing w:before="0" w:after="0"/>
              <w:jc w:val="both"/>
              <w:rPr>
                <w:rFonts w:eastAsia="Times New Roman"/>
                <w:b/>
                <w:bCs/>
                <w:sz w:val="24"/>
                <w:szCs w:val="24"/>
                <w:lang w:val="nl-NL"/>
              </w:rPr>
            </w:pPr>
          </w:p>
        </w:tc>
        <w:tc>
          <w:tcPr>
            <w:tcW w:w="5837" w:type="dxa"/>
            <w:vMerge w:val="restart"/>
          </w:tcPr>
          <w:p w:rsidR="000964C4" w:rsidRPr="00EE15ED" w:rsidRDefault="000964C4" w:rsidP="00DE2616">
            <w:pPr>
              <w:spacing w:before="0" w:after="0"/>
              <w:jc w:val="center"/>
              <w:rPr>
                <w:rFonts w:eastAsia="Times New Roman"/>
                <w:b/>
                <w:bCs/>
                <w:sz w:val="26"/>
                <w:szCs w:val="26"/>
                <w:lang w:val="nl-NL"/>
              </w:rPr>
            </w:pPr>
            <w:r w:rsidRPr="00EE15ED">
              <w:rPr>
                <w:rFonts w:eastAsia="Times New Roman"/>
                <w:b/>
                <w:bCs/>
                <w:sz w:val="26"/>
                <w:szCs w:val="26"/>
                <w:lang w:val="nl-NL"/>
              </w:rPr>
              <w:t>CỘNG HOÀ XÃ HỘI CHỦ NGHĨA VIỆT NAM</w:t>
            </w:r>
          </w:p>
          <w:p w:rsidR="000964C4" w:rsidRDefault="000964C4" w:rsidP="00DE2616">
            <w:pPr>
              <w:spacing w:before="0" w:after="0"/>
              <w:jc w:val="center"/>
              <w:rPr>
                <w:rFonts w:eastAsia="Times New Roman"/>
                <w:b/>
                <w:szCs w:val="28"/>
                <w:lang w:val="nl-NL"/>
              </w:rPr>
            </w:pPr>
            <w:r w:rsidRPr="00EE15ED">
              <w:rPr>
                <w:rFonts w:eastAsia="Times New Roman"/>
                <w:b/>
                <w:szCs w:val="28"/>
                <w:lang w:val="nl-NL"/>
              </w:rPr>
              <w:t>Độc lập – Tự do – Hạnh phúc</w:t>
            </w:r>
          </w:p>
          <w:p w:rsidR="001272C6" w:rsidRPr="00EE15ED" w:rsidRDefault="000420FC" w:rsidP="00DE2616">
            <w:pPr>
              <w:spacing w:before="0" w:after="0"/>
              <w:jc w:val="center"/>
              <w:rPr>
                <w:rFonts w:eastAsia="Times New Roman"/>
                <w:b/>
                <w:szCs w:val="28"/>
                <w:lang w:val="nl-NL"/>
              </w:rPr>
            </w:pPr>
            <w:r>
              <w:rPr>
                <w:rFonts w:eastAsia="Times New Roman"/>
                <w:b/>
                <w:bCs/>
                <w:noProof/>
                <w:sz w:val="26"/>
                <w:szCs w:val="26"/>
                <w:lang w:val="en-US"/>
              </w:rPr>
              <w:pict>
                <v:shape id="_x0000_s1028" type="#_x0000_t32" style="position:absolute;left:0;text-align:left;margin-left:50.3pt;margin-top:5.05pt;width:170.8pt;height:0;z-index:251659264" o:connectortype="straight"/>
              </w:pict>
            </w:r>
          </w:p>
          <w:p w:rsidR="000964C4" w:rsidRPr="00EE15ED" w:rsidRDefault="001272C6" w:rsidP="00676AF9">
            <w:pPr>
              <w:spacing w:before="0" w:after="0"/>
              <w:jc w:val="center"/>
              <w:rPr>
                <w:rFonts w:eastAsia="Times New Roman"/>
                <w:b/>
                <w:bCs/>
                <w:sz w:val="26"/>
                <w:szCs w:val="26"/>
                <w:lang w:val="nl-NL"/>
              </w:rPr>
            </w:pPr>
            <w:r>
              <w:rPr>
                <w:rFonts w:ascii=".VnFree" w:eastAsia="Times New Roman" w:hAnsi=".VnFree"/>
                <w:sz w:val="16"/>
                <w:szCs w:val="16"/>
                <w:lang w:val="nl-NL"/>
              </w:rPr>
              <w:t xml:space="preserve"> </w:t>
            </w:r>
            <w:r w:rsidR="000964C4" w:rsidRPr="00EE15ED">
              <w:rPr>
                <w:rFonts w:eastAsia="Times New Roman"/>
                <w:i/>
                <w:szCs w:val="28"/>
                <w:lang w:val="nl-NL"/>
              </w:rPr>
              <w:t xml:space="preserve">Hà Nội, ngày </w:t>
            </w:r>
            <w:r w:rsidR="00676AF9">
              <w:rPr>
                <w:rFonts w:eastAsia="Times New Roman"/>
                <w:i/>
                <w:szCs w:val="28"/>
                <w:lang w:val="nl-NL"/>
              </w:rPr>
              <w:t>19</w:t>
            </w:r>
            <w:r w:rsidR="007F6272">
              <w:rPr>
                <w:rFonts w:eastAsia="Times New Roman"/>
                <w:i/>
                <w:szCs w:val="28"/>
                <w:lang w:val="nl-NL"/>
              </w:rPr>
              <w:t xml:space="preserve"> </w:t>
            </w:r>
            <w:r w:rsidR="000964C4" w:rsidRPr="00EE15ED">
              <w:rPr>
                <w:rFonts w:eastAsia="Times New Roman"/>
                <w:i/>
                <w:szCs w:val="28"/>
                <w:lang w:val="nl-NL"/>
              </w:rPr>
              <w:t xml:space="preserve"> tháng</w:t>
            </w:r>
            <w:r w:rsidR="00F935C4" w:rsidRPr="00EE15ED">
              <w:rPr>
                <w:rFonts w:eastAsia="Times New Roman"/>
                <w:i/>
                <w:szCs w:val="28"/>
                <w:lang w:val="nl-NL"/>
              </w:rPr>
              <w:t xml:space="preserve"> </w:t>
            </w:r>
            <w:r w:rsidR="003E523A">
              <w:rPr>
                <w:rFonts w:eastAsia="Times New Roman"/>
                <w:i/>
                <w:szCs w:val="28"/>
                <w:lang w:val="nl-NL"/>
              </w:rPr>
              <w:t>11</w:t>
            </w:r>
            <w:r w:rsidR="00EA30F3" w:rsidRPr="00EE15ED">
              <w:rPr>
                <w:rFonts w:eastAsia="Times New Roman"/>
                <w:i/>
                <w:szCs w:val="28"/>
                <w:lang w:val="nl-NL"/>
              </w:rPr>
              <w:t xml:space="preserve"> </w:t>
            </w:r>
            <w:r w:rsidR="000964C4" w:rsidRPr="00EE15ED">
              <w:rPr>
                <w:rFonts w:eastAsia="Times New Roman"/>
                <w:i/>
                <w:szCs w:val="28"/>
                <w:lang w:val="nl-NL"/>
              </w:rPr>
              <w:t xml:space="preserve">năm </w:t>
            </w:r>
            <w:r w:rsidR="00AE0A9E" w:rsidRPr="00EE15ED">
              <w:rPr>
                <w:rFonts w:eastAsia="Times New Roman"/>
                <w:i/>
                <w:szCs w:val="28"/>
                <w:lang w:val="nl-NL"/>
              </w:rPr>
              <w:t>202</w:t>
            </w:r>
            <w:r w:rsidR="00E5182B" w:rsidRPr="00EE15ED">
              <w:rPr>
                <w:rFonts w:eastAsia="Times New Roman"/>
                <w:i/>
                <w:szCs w:val="28"/>
                <w:lang w:val="nl-NL"/>
              </w:rPr>
              <w:t>4</w:t>
            </w:r>
          </w:p>
        </w:tc>
      </w:tr>
      <w:tr w:rsidR="000964C4" w:rsidRPr="00EE15ED" w:rsidTr="000964C4">
        <w:trPr>
          <w:trHeight w:val="184"/>
          <w:jc w:val="center"/>
        </w:trPr>
        <w:tc>
          <w:tcPr>
            <w:tcW w:w="3402" w:type="dxa"/>
            <w:vMerge/>
          </w:tcPr>
          <w:p w:rsidR="000964C4" w:rsidRPr="00EE15ED" w:rsidRDefault="000964C4" w:rsidP="005270A8">
            <w:pPr>
              <w:spacing w:before="0" w:after="0"/>
              <w:jc w:val="both"/>
              <w:rPr>
                <w:rFonts w:eastAsia="Times New Roman"/>
                <w:sz w:val="16"/>
                <w:szCs w:val="16"/>
                <w:lang w:val="nl-NL"/>
              </w:rPr>
            </w:pPr>
          </w:p>
        </w:tc>
        <w:tc>
          <w:tcPr>
            <w:tcW w:w="5837" w:type="dxa"/>
            <w:vMerge/>
          </w:tcPr>
          <w:p w:rsidR="000964C4" w:rsidRPr="00EE15ED" w:rsidRDefault="000964C4" w:rsidP="005270A8">
            <w:pPr>
              <w:keepNext/>
              <w:spacing w:before="0" w:after="0"/>
              <w:jc w:val="center"/>
              <w:outlineLvl w:val="0"/>
              <w:rPr>
                <w:rFonts w:eastAsia="Times New Roman"/>
                <w:b/>
                <w:szCs w:val="28"/>
                <w:lang w:val="nl-NL"/>
              </w:rPr>
            </w:pPr>
          </w:p>
        </w:tc>
      </w:tr>
      <w:tr w:rsidR="000964C4" w:rsidRPr="00EE15ED" w:rsidTr="000964C4">
        <w:trPr>
          <w:trHeight w:val="299"/>
          <w:jc w:val="center"/>
        </w:trPr>
        <w:tc>
          <w:tcPr>
            <w:tcW w:w="3402" w:type="dxa"/>
            <w:vMerge/>
          </w:tcPr>
          <w:p w:rsidR="000964C4" w:rsidRPr="00EE15ED" w:rsidRDefault="000964C4" w:rsidP="005270A8">
            <w:pPr>
              <w:spacing w:before="0" w:after="0"/>
              <w:jc w:val="both"/>
              <w:rPr>
                <w:rFonts w:eastAsia="Times New Roman"/>
                <w:sz w:val="26"/>
                <w:szCs w:val="24"/>
                <w:lang w:val="nl-NL"/>
              </w:rPr>
            </w:pPr>
          </w:p>
        </w:tc>
        <w:tc>
          <w:tcPr>
            <w:tcW w:w="5837" w:type="dxa"/>
            <w:vMerge/>
          </w:tcPr>
          <w:p w:rsidR="000964C4" w:rsidRPr="00EE15ED" w:rsidRDefault="000964C4" w:rsidP="005270A8">
            <w:pPr>
              <w:keepNext/>
              <w:spacing w:before="0" w:after="0"/>
              <w:jc w:val="center"/>
              <w:outlineLvl w:val="0"/>
              <w:rPr>
                <w:rFonts w:ascii=".VnFree" w:eastAsia="Times New Roman" w:hAnsi=".VnFree"/>
                <w:sz w:val="16"/>
                <w:szCs w:val="16"/>
                <w:lang w:val="nl-NL"/>
              </w:rPr>
            </w:pPr>
          </w:p>
        </w:tc>
      </w:tr>
      <w:tr w:rsidR="000964C4" w:rsidRPr="00EE15ED" w:rsidTr="000964C4">
        <w:trPr>
          <w:trHeight w:val="362"/>
          <w:jc w:val="center"/>
        </w:trPr>
        <w:tc>
          <w:tcPr>
            <w:tcW w:w="3402" w:type="dxa"/>
            <w:vMerge/>
          </w:tcPr>
          <w:p w:rsidR="000964C4" w:rsidRPr="00EE15ED" w:rsidRDefault="000964C4" w:rsidP="005270A8">
            <w:pPr>
              <w:spacing w:before="0" w:after="0"/>
              <w:jc w:val="both"/>
              <w:rPr>
                <w:rFonts w:eastAsia="Times New Roman"/>
                <w:sz w:val="22"/>
                <w:lang w:val="pt-BR"/>
              </w:rPr>
            </w:pPr>
          </w:p>
        </w:tc>
        <w:tc>
          <w:tcPr>
            <w:tcW w:w="5837" w:type="dxa"/>
            <w:vMerge/>
          </w:tcPr>
          <w:p w:rsidR="000964C4" w:rsidRPr="00EE15ED" w:rsidRDefault="000964C4" w:rsidP="005270A8">
            <w:pPr>
              <w:keepNext/>
              <w:spacing w:before="0" w:after="0"/>
              <w:jc w:val="center"/>
              <w:outlineLvl w:val="0"/>
              <w:rPr>
                <w:rFonts w:eastAsia="Times New Roman"/>
                <w:i/>
                <w:szCs w:val="28"/>
                <w:lang w:val="nl-NL"/>
              </w:rPr>
            </w:pPr>
          </w:p>
        </w:tc>
      </w:tr>
    </w:tbl>
    <w:p w:rsidR="003D4D5C" w:rsidRDefault="003D4D5C" w:rsidP="00370A12">
      <w:pPr>
        <w:spacing w:before="0" w:after="0"/>
        <w:ind w:right="-357"/>
        <w:rPr>
          <w:rFonts w:ascii="Cambria" w:hAnsi="Cambria" w:cs="Cambria"/>
          <w:b/>
          <w:szCs w:val="28"/>
          <w:lang w:val="nl-NL"/>
        </w:rPr>
      </w:pPr>
    </w:p>
    <w:p w:rsidR="00CB530A" w:rsidRDefault="00CB530A" w:rsidP="00370A12">
      <w:pPr>
        <w:spacing w:before="0" w:after="0"/>
        <w:ind w:right="-357"/>
        <w:rPr>
          <w:rFonts w:ascii="Cambria" w:hAnsi="Cambria" w:cs="Cambria"/>
          <w:b/>
          <w:szCs w:val="28"/>
          <w:lang w:val="nl-NL"/>
        </w:rPr>
      </w:pPr>
    </w:p>
    <w:p w:rsidR="00CB530A" w:rsidRPr="00EE15ED" w:rsidRDefault="00CB530A" w:rsidP="00370A12">
      <w:pPr>
        <w:spacing w:before="0" w:after="0"/>
        <w:ind w:right="-357"/>
        <w:rPr>
          <w:rFonts w:ascii="Cambria" w:hAnsi="Cambria" w:cs="Cambria"/>
          <w:b/>
          <w:szCs w:val="28"/>
          <w:lang w:val="nl-NL"/>
        </w:rPr>
      </w:pPr>
    </w:p>
    <w:p w:rsidR="00714BA8" w:rsidRPr="00EE15ED" w:rsidRDefault="00714BA8" w:rsidP="00E915DE">
      <w:pPr>
        <w:spacing w:before="0" w:after="0"/>
        <w:ind w:right="-357"/>
        <w:jc w:val="center"/>
        <w:rPr>
          <w:b/>
          <w:szCs w:val="28"/>
        </w:rPr>
      </w:pPr>
      <w:r w:rsidRPr="00EE15ED">
        <w:rPr>
          <w:b/>
          <w:szCs w:val="28"/>
        </w:rPr>
        <w:t>TỜ TRÌNH</w:t>
      </w:r>
    </w:p>
    <w:p w:rsidR="00BA4285" w:rsidRPr="00EE15ED" w:rsidRDefault="007F6272" w:rsidP="00E915DE">
      <w:pPr>
        <w:spacing w:before="0" w:after="0"/>
        <w:jc w:val="center"/>
        <w:rPr>
          <w:b/>
          <w:noProof/>
          <w:szCs w:val="28"/>
          <w:lang w:val="nl-NL"/>
        </w:rPr>
      </w:pPr>
      <w:r>
        <w:rPr>
          <w:rFonts w:eastAsia="Times New Roman"/>
          <w:b/>
          <w:szCs w:val="28"/>
          <w:lang w:val="nl-NL"/>
        </w:rPr>
        <w:t>Về</w:t>
      </w:r>
      <w:r w:rsidR="00EA30F3" w:rsidRPr="00EE15ED">
        <w:rPr>
          <w:rFonts w:eastAsia="Times New Roman"/>
          <w:b/>
          <w:szCs w:val="28"/>
          <w:lang w:val="nl-NL"/>
        </w:rPr>
        <w:t xml:space="preserve"> dự án Nghị quyết của Quốc hội về</w:t>
      </w:r>
      <w:r>
        <w:rPr>
          <w:rFonts w:eastAsia="Times New Roman"/>
          <w:b/>
          <w:szCs w:val="28"/>
          <w:lang w:val="nl-NL"/>
        </w:rPr>
        <w:t xml:space="preserve"> </w:t>
      </w:r>
      <w:r w:rsidR="00EA30F3" w:rsidRPr="00EE15ED">
        <w:rPr>
          <w:rFonts w:eastAsia="Times New Roman"/>
          <w:b/>
          <w:szCs w:val="28"/>
          <w:lang w:val="nl-NL"/>
        </w:rPr>
        <w:t>giảm thuế giá trị gia tăng</w:t>
      </w:r>
    </w:p>
    <w:p w:rsidR="00714BA8" w:rsidRPr="00EE15ED" w:rsidRDefault="00EA30F3" w:rsidP="00E915DE">
      <w:pPr>
        <w:spacing w:before="0" w:after="0"/>
        <w:ind w:right="-360"/>
        <w:jc w:val="center"/>
        <w:rPr>
          <w:b/>
          <w:sz w:val="12"/>
          <w:szCs w:val="12"/>
          <w:lang w:val="nl-NL"/>
        </w:rPr>
      </w:pPr>
      <w:r w:rsidRPr="00EE15ED">
        <w:rPr>
          <w:b/>
          <w:sz w:val="12"/>
          <w:szCs w:val="12"/>
          <w:lang w:val="nl-NL"/>
        </w:rPr>
        <w:t>_________________</w:t>
      </w:r>
    </w:p>
    <w:p w:rsidR="00C76F0E" w:rsidRPr="00177C55" w:rsidRDefault="00C76F0E" w:rsidP="00C76F0E">
      <w:pPr>
        <w:tabs>
          <w:tab w:val="center" w:pos="4677"/>
          <w:tab w:val="left" w:pos="5146"/>
        </w:tabs>
        <w:spacing w:before="360"/>
        <w:rPr>
          <w:lang w:val="nl-NL"/>
        </w:rPr>
      </w:pPr>
      <w:r>
        <w:rPr>
          <w:lang w:val="nl-NL"/>
        </w:rPr>
        <w:t xml:space="preserve">                                     </w:t>
      </w:r>
      <w:r w:rsidRPr="00177C55">
        <w:rPr>
          <w:lang w:val="nl-NL"/>
        </w:rPr>
        <w:t xml:space="preserve">Kính gửi: </w:t>
      </w:r>
    </w:p>
    <w:p w:rsidR="00C76F0E" w:rsidRPr="00177C55" w:rsidRDefault="00C76F0E" w:rsidP="00C76F0E">
      <w:pPr>
        <w:tabs>
          <w:tab w:val="left" w:pos="2835"/>
        </w:tabs>
        <w:spacing w:after="0"/>
        <w:rPr>
          <w:lang w:val="nl-NL"/>
        </w:rPr>
      </w:pPr>
      <w:r w:rsidRPr="00177C55">
        <w:rPr>
          <w:lang w:val="nl-NL"/>
        </w:rPr>
        <w:tab/>
      </w:r>
      <w:r>
        <w:rPr>
          <w:lang w:val="nl-NL"/>
        </w:rPr>
        <w:tab/>
        <w:t xml:space="preserve">   </w:t>
      </w:r>
      <w:r>
        <w:rPr>
          <w:lang w:val="nl-NL"/>
        </w:rPr>
        <w:tab/>
      </w:r>
      <w:r w:rsidRPr="00177C55">
        <w:rPr>
          <w:lang w:val="nl-NL"/>
        </w:rPr>
        <w:t>- Quốc hội;</w:t>
      </w:r>
    </w:p>
    <w:p w:rsidR="005270A8" w:rsidRPr="00EE15ED" w:rsidRDefault="00C76F0E" w:rsidP="00C76F0E">
      <w:pPr>
        <w:spacing w:before="0" w:after="0" w:line="360" w:lineRule="auto"/>
        <w:jc w:val="both"/>
        <w:rPr>
          <w:rFonts w:eastAsia="Times New Roman"/>
          <w:bCs/>
          <w:szCs w:val="28"/>
          <w:lang w:val="nl-NL"/>
        </w:rPr>
      </w:pPr>
      <w:r w:rsidRPr="00177C55">
        <w:rPr>
          <w:lang w:val="nl-NL"/>
        </w:rPr>
        <w:tab/>
      </w:r>
      <w:r>
        <w:rPr>
          <w:lang w:val="nl-NL"/>
        </w:rPr>
        <w:tab/>
        <w:t xml:space="preserve">    </w:t>
      </w:r>
      <w:r>
        <w:rPr>
          <w:lang w:val="nl-NL"/>
        </w:rPr>
        <w:tab/>
      </w:r>
      <w:r>
        <w:rPr>
          <w:lang w:val="nl-NL"/>
        </w:rPr>
        <w:tab/>
      </w:r>
      <w:r>
        <w:rPr>
          <w:lang w:val="nl-NL"/>
        </w:rPr>
        <w:tab/>
      </w:r>
      <w:r w:rsidRPr="00177C55">
        <w:rPr>
          <w:lang w:val="nl-NL"/>
        </w:rPr>
        <w:t>- Ủy ban Thường vụ Quốc hội.</w:t>
      </w:r>
    </w:p>
    <w:p w:rsidR="008533E1" w:rsidRDefault="008533E1" w:rsidP="00BA747A">
      <w:pPr>
        <w:widowControl w:val="0"/>
        <w:ind w:firstLine="720"/>
        <w:jc w:val="both"/>
        <w:rPr>
          <w:szCs w:val="28"/>
          <w:lang w:val="nl-NL"/>
        </w:rPr>
      </w:pPr>
      <w:r w:rsidRPr="00464756">
        <w:rPr>
          <w:szCs w:val="28"/>
          <w:lang w:val="nl-NL"/>
        </w:rPr>
        <w:t xml:space="preserve">Chính phủ xin trình Quốc hội dự án Nghị quyết của Quốc hội về giảm thuế </w:t>
      </w:r>
      <w:r w:rsidR="00710BE5">
        <w:rPr>
          <w:szCs w:val="28"/>
          <w:lang w:val="nl-NL"/>
        </w:rPr>
        <w:t>giá trị gia tăng (</w:t>
      </w:r>
      <w:r w:rsidRPr="00464756">
        <w:rPr>
          <w:szCs w:val="28"/>
          <w:lang w:val="nl-NL"/>
        </w:rPr>
        <w:t>GTGT</w:t>
      </w:r>
      <w:r w:rsidR="00710BE5">
        <w:rPr>
          <w:szCs w:val="28"/>
          <w:lang w:val="nl-NL"/>
        </w:rPr>
        <w:t>)</w:t>
      </w:r>
      <w:r w:rsidRPr="00464756">
        <w:rPr>
          <w:szCs w:val="28"/>
          <w:lang w:val="nl-NL"/>
        </w:rPr>
        <w:t xml:space="preserve"> như sau:</w:t>
      </w:r>
    </w:p>
    <w:p w:rsidR="00E32E11" w:rsidRPr="00EE15ED" w:rsidRDefault="00E32E11" w:rsidP="007F450C">
      <w:pPr>
        <w:ind w:firstLine="720"/>
        <w:jc w:val="both"/>
        <w:rPr>
          <w:b/>
          <w:szCs w:val="28"/>
          <w:lang w:val="nl-NL"/>
        </w:rPr>
      </w:pPr>
      <w:r w:rsidRPr="003237FE">
        <w:rPr>
          <w:b/>
          <w:szCs w:val="28"/>
          <w:lang w:val="nl-NL"/>
        </w:rPr>
        <w:t xml:space="preserve">I. SỰ CẦN THIẾT </w:t>
      </w:r>
      <w:r w:rsidR="00C43D30" w:rsidRPr="003237FE">
        <w:rPr>
          <w:b/>
          <w:szCs w:val="28"/>
          <w:lang w:val="nl-NL"/>
        </w:rPr>
        <w:t>BAN HÀNH NGHỊ QUYẾT</w:t>
      </w:r>
    </w:p>
    <w:p w:rsidR="00AE2339" w:rsidRDefault="00C43D30" w:rsidP="007F450C">
      <w:pPr>
        <w:widowControl w:val="0"/>
        <w:ind w:firstLine="720"/>
        <w:jc w:val="both"/>
        <w:rPr>
          <w:b/>
          <w:bCs/>
          <w:lang w:val="it-IT" w:bidi="vi-VN"/>
        </w:rPr>
      </w:pPr>
      <w:r w:rsidRPr="00C43D30">
        <w:rPr>
          <w:b/>
          <w:bCs/>
          <w:lang w:val="en-SG"/>
        </w:rPr>
        <w:t xml:space="preserve">1. </w:t>
      </w:r>
      <w:r w:rsidRPr="00C43D30">
        <w:rPr>
          <w:b/>
          <w:bCs/>
          <w:lang w:val="it-IT" w:bidi="vi-VN"/>
        </w:rPr>
        <w:t>Cơ s</w:t>
      </w:r>
      <w:r w:rsidRPr="00C43D30">
        <w:rPr>
          <w:b/>
          <w:bCs/>
          <w:lang w:val="en-SG"/>
        </w:rPr>
        <w:t xml:space="preserve">ở </w:t>
      </w:r>
      <w:r w:rsidRPr="00C43D30">
        <w:rPr>
          <w:b/>
          <w:bCs/>
          <w:lang w:val="it-IT" w:bidi="vi-VN"/>
        </w:rPr>
        <w:t>chính trị, pháp lý</w:t>
      </w:r>
    </w:p>
    <w:p w:rsidR="00AE2339" w:rsidRPr="0056421C" w:rsidRDefault="002D4192" w:rsidP="007F450C">
      <w:pPr>
        <w:widowControl w:val="0"/>
        <w:ind w:firstLine="720"/>
        <w:jc w:val="both"/>
        <w:rPr>
          <w:szCs w:val="28"/>
          <w:lang w:val="nl-NL"/>
        </w:rPr>
      </w:pPr>
      <w:r w:rsidRPr="0056421C">
        <w:rPr>
          <w:szCs w:val="28"/>
          <w:lang w:val="nl-NL"/>
        </w:rPr>
        <w:t>Ngày 12/11/2024, Chính phủ đã có Nghị quyết số 218/NQ-CP</w:t>
      </w:r>
      <w:r w:rsidR="00AB1CFC" w:rsidRPr="0056421C">
        <w:rPr>
          <w:szCs w:val="28"/>
          <w:lang w:val="nl-NL"/>
        </w:rPr>
        <w:t xml:space="preserve"> về</w:t>
      </w:r>
      <w:r w:rsidRPr="0056421C">
        <w:rPr>
          <w:szCs w:val="28"/>
          <w:lang w:val="nl-NL"/>
        </w:rPr>
        <w:t xml:space="preserve"> phiên họp Chính phủ thường kỳ tháng 10. Tại tiết </w:t>
      </w:r>
      <w:r w:rsidR="001707A8" w:rsidRPr="0056421C">
        <w:rPr>
          <w:szCs w:val="28"/>
          <w:lang w:val="nl-NL"/>
        </w:rPr>
        <w:t>(</w:t>
      </w:r>
      <w:r w:rsidRPr="0056421C">
        <w:rPr>
          <w:szCs w:val="28"/>
          <w:lang w:val="nl-NL"/>
        </w:rPr>
        <w:t>2</w:t>
      </w:r>
      <w:r w:rsidR="001707A8" w:rsidRPr="0056421C">
        <w:rPr>
          <w:szCs w:val="28"/>
          <w:lang w:val="nl-NL"/>
        </w:rPr>
        <w:t>)</w:t>
      </w:r>
      <w:r w:rsidRPr="0056421C">
        <w:rPr>
          <w:szCs w:val="28"/>
          <w:lang w:val="nl-NL"/>
        </w:rPr>
        <w:t xml:space="preserve">, điểm </w:t>
      </w:r>
      <w:r w:rsidR="006E73E4" w:rsidRPr="0056421C">
        <w:rPr>
          <w:szCs w:val="28"/>
          <w:lang w:val="nl-NL"/>
        </w:rPr>
        <w:t>1b</w:t>
      </w:r>
      <w:r w:rsidRPr="0056421C">
        <w:rPr>
          <w:szCs w:val="28"/>
          <w:lang w:val="nl-NL"/>
        </w:rPr>
        <w:t xml:space="preserve"> </w:t>
      </w:r>
      <w:r w:rsidR="00107CE4" w:rsidRPr="0056421C">
        <w:rPr>
          <w:szCs w:val="28"/>
          <w:lang w:val="nl-NL"/>
        </w:rPr>
        <w:t>M</w:t>
      </w:r>
      <w:r w:rsidRPr="0056421C">
        <w:rPr>
          <w:szCs w:val="28"/>
          <w:lang w:val="nl-NL"/>
        </w:rPr>
        <w:t xml:space="preserve">ục </w:t>
      </w:r>
      <w:r w:rsidR="00107CE4" w:rsidRPr="0056421C">
        <w:rPr>
          <w:szCs w:val="28"/>
          <w:lang w:val="nl-NL"/>
        </w:rPr>
        <w:t>I</w:t>
      </w:r>
      <w:r w:rsidRPr="0056421C">
        <w:rPr>
          <w:szCs w:val="28"/>
          <w:lang w:val="nl-NL"/>
        </w:rPr>
        <w:t xml:space="preserve"> Nghị quyết, Chính phủ giao Bộ Tài chính chủ trì, phối hợp với các cơ quan, địa phương sớm tổng kết, đánh giá và tham mưu, đề xuất ban hành theo thẩm quyền hoặc trình cấp có thẩm quyền ban hành các chính sách miễn, giảm, gia hạn thuế, phí, tiền </w:t>
      </w:r>
      <w:r w:rsidR="0075442D" w:rsidRPr="0056421C">
        <w:rPr>
          <w:szCs w:val="28"/>
          <w:lang w:val="nl-NL"/>
        </w:rPr>
        <w:t>thuê</w:t>
      </w:r>
      <w:r w:rsidRPr="0056421C">
        <w:rPr>
          <w:szCs w:val="28"/>
          <w:lang w:val="nl-NL"/>
        </w:rPr>
        <w:t xml:space="preserve"> đất trong năm 2025 để có thể triển khai ngay từ đầu năm, nhất là việc tiếp tục gia hạn thực hiện giảm thuế GTGT trong 6 tháng đầu năm 2025 để báo cáo Quốc hội tại Kỳ họp thứ 8.</w:t>
      </w:r>
    </w:p>
    <w:p w:rsidR="00440F58" w:rsidRPr="0056421C" w:rsidRDefault="00440F58" w:rsidP="00440F58">
      <w:pPr>
        <w:widowControl w:val="0"/>
        <w:ind w:firstLine="720"/>
        <w:jc w:val="both"/>
        <w:rPr>
          <w:bCs/>
          <w:iCs/>
          <w:color w:val="000000"/>
          <w:lang w:val="nl-NL"/>
        </w:rPr>
      </w:pPr>
      <w:r w:rsidRPr="0056421C">
        <w:rPr>
          <w:bCs/>
          <w:iCs/>
          <w:color w:val="000000"/>
          <w:lang w:val="nl-NL"/>
        </w:rPr>
        <w:t xml:space="preserve">Ngày 17/11/2024, Văn phòng Chính phủ có </w:t>
      </w:r>
      <w:r w:rsidRPr="0056421C">
        <w:rPr>
          <w:szCs w:val="28"/>
          <w:lang w:val="nl-NL" w:bidi="vi-VN"/>
        </w:rPr>
        <w:t xml:space="preserve">công văn số </w:t>
      </w:r>
      <w:r w:rsidRPr="0056421C">
        <w:rPr>
          <w:bCs/>
          <w:iCs/>
          <w:color w:val="000000"/>
          <w:lang w:val="nl-NL"/>
        </w:rPr>
        <w:t xml:space="preserve">8428/VPCP-KTTH thông báo ý kiến chỉ đạo </w:t>
      </w:r>
      <w:r w:rsidR="0095265C">
        <w:rPr>
          <w:bCs/>
          <w:iCs/>
          <w:color w:val="000000"/>
          <w:lang w:val="nl-NL"/>
        </w:rPr>
        <w:t xml:space="preserve">của </w:t>
      </w:r>
      <w:r w:rsidRPr="0056421C">
        <w:rPr>
          <w:bCs/>
          <w:iCs/>
          <w:color w:val="000000"/>
          <w:lang w:val="nl-NL"/>
        </w:rPr>
        <w:t xml:space="preserve">Thủ tướng Chính phủ như sau: </w:t>
      </w:r>
      <w:r w:rsidRPr="0056421C">
        <w:rPr>
          <w:bCs/>
          <w:iCs/>
          <w:lang w:val="nl-NL"/>
        </w:rPr>
        <w:t>Thủ tướng Chính phủ Phạm Minh Chính yêu cầu Phó Thủ tướng Chính phủ Hồ Đức Phớc chỉ đạo</w:t>
      </w:r>
      <w:r w:rsidRPr="0056421C">
        <w:rPr>
          <w:bCs/>
          <w:i/>
          <w:iCs/>
          <w:lang w:val="nl-NL"/>
        </w:rPr>
        <w:t xml:space="preserve"> </w:t>
      </w:r>
      <w:r w:rsidRPr="0056421C">
        <w:rPr>
          <w:bCs/>
          <w:iCs/>
          <w:color w:val="000000"/>
          <w:lang w:val="nl-NL"/>
        </w:rPr>
        <w:t xml:space="preserve">Bộ Tài chính gửi ngay hồ sơ dự án Nghị quyết của Quốc hội về giảm thuế </w:t>
      </w:r>
      <w:r w:rsidRPr="0056421C">
        <w:rPr>
          <w:szCs w:val="28"/>
          <w:lang w:val="nl-NL" w:bidi="vi-VN"/>
        </w:rPr>
        <w:t xml:space="preserve">GTGT </w:t>
      </w:r>
      <w:r w:rsidRPr="0056421C">
        <w:rPr>
          <w:bCs/>
          <w:iCs/>
          <w:color w:val="000000"/>
          <w:lang w:val="nl-NL"/>
        </w:rPr>
        <w:t>trong 6 tháng đầu năm 2025 ngay trong ngày 17/11/2024 để báo cáo Quốc hội tại Kỳ họp thứ 8 Quốc hội khóa XV.</w:t>
      </w:r>
    </w:p>
    <w:p w:rsidR="00E94A09" w:rsidRDefault="00E93FB7" w:rsidP="00F66665">
      <w:pPr>
        <w:widowControl w:val="0"/>
        <w:ind w:firstLine="720"/>
        <w:jc w:val="both"/>
        <w:rPr>
          <w:bCs/>
          <w:iCs/>
          <w:color w:val="000000"/>
          <w:lang w:val="nl-NL"/>
        </w:rPr>
      </w:pPr>
      <w:r w:rsidRPr="0056421C">
        <w:rPr>
          <w:bCs/>
          <w:iCs/>
          <w:color w:val="000000"/>
          <w:lang w:val="nl-NL"/>
        </w:rPr>
        <w:t xml:space="preserve">Ngày </w:t>
      </w:r>
      <w:r w:rsidR="00710BE5">
        <w:rPr>
          <w:bCs/>
          <w:iCs/>
          <w:color w:val="000000"/>
          <w:lang w:val="nl-NL"/>
        </w:rPr>
        <w:t>19</w:t>
      </w:r>
      <w:r w:rsidRPr="0056421C">
        <w:rPr>
          <w:bCs/>
          <w:iCs/>
          <w:color w:val="000000"/>
          <w:lang w:val="nl-NL"/>
        </w:rPr>
        <w:t xml:space="preserve">/11/2024, Văn phòng Chính phủ có </w:t>
      </w:r>
      <w:r w:rsidRPr="0056421C">
        <w:rPr>
          <w:szCs w:val="28"/>
          <w:lang w:val="nl-NL" w:bidi="vi-VN"/>
        </w:rPr>
        <w:t xml:space="preserve">công văn số </w:t>
      </w:r>
      <w:r w:rsidR="00710BE5">
        <w:rPr>
          <w:szCs w:val="28"/>
          <w:lang w:val="nl-NL" w:bidi="vi-VN"/>
        </w:rPr>
        <w:t>8494</w:t>
      </w:r>
      <w:r w:rsidRPr="0056421C">
        <w:rPr>
          <w:bCs/>
          <w:iCs/>
          <w:color w:val="000000"/>
          <w:lang w:val="nl-NL"/>
        </w:rPr>
        <w:t xml:space="preserve">/VPCP-KTTH thông báo ý kiến chỉ đạo </w:t>
      </w:r>
      <w:r w:rsidR="0056421C" w:rsidRPr="0056421C">
        <w:rPr>
          <w:bCs/>
          <w:iCs/>
          <w:color w:val="000000"/>
          <w:lang w:val="nl-NL"/>
        </w:rPr>
        <w:t xml:space="preserve">của </w:t>
      </w:r>
      <w:r w:rsidRPr="0056421C">
        <w:rPr>
          <w:bCs/>
          <w:iCs/>
          <w:color w:val="000000"/>
          <w:lang w:val="nl-NL"/>
        </w:rPr>
        <w:t>Thủ tướng Chính phủ</w:t>
      </w:r>
      <w:r w:rsidR="0056421C" w:rsidRPr="0056421C">
        <w:rPr>
          <w:bCs/>
          <w:iCs/>
          <w:color w:val="000000"/>
          <w:lang w:val="nl-NL"/>
        </w:rPr>
        <w:t xml:space="preserve"> như sau: Bộ trưởng Bộ Tài chính thay mặt Chính phủ, thừa ủy quyền Thủ tướng Chính phủ ký Tờ trình báo cáo Uỷ ban Thường vụ Quốc hội, Quốc hội về dự án Nghị quyết</w:t>
      </w:r>
      <w:r w:rsidR="00F66665">
        <w:rPr>
          <w:bCs/>
          <w:iCs/>
          <w:color w:val="000000"/>
          <w:lang w:val="nl-NL"/>
        </w:rPr>
        <w:t xml:space="preserve"> giảm thuế GTGT</w:t>
      </w:r>
      <w:r w:rsidR="0056421C" w:rsidRPr="0056421C">
        <w:rPr>
          <w:bCs/>
          <w:iCs/>
          <w:color w:val="000000"/>
          <w:lang w:val="nl-NL"/>
        </w:rPr>
        <w:t xml:space="preserve"> trong ngày 19/11/2024 theo đúng yêu cầu của Thủ tướng Chính phủ tại công văn số 8428/VPCP-KTTH ngày 17/11/2024.</w:t>
      </w:r>
      <w:r w:rsidR="00E94A09">
        <w:rPr>
          <w:bCs/>
          <w:iCs/>
          <w:color w:val="000000"/>
          <w:lang w:val="nl-NL"/>
        </w:rPr>
        <w:t xml:space="preserve"> </w:t>
      </w:r>
    </w:p>
    <w:p w:rsidR="00700424" w:rsidRDefault="00700424" w:rsidP="00F66665">
      <w:pPr>
        <w:widowControl w:val="0"/>
        <w:ind w:firstLine="720"/>
        <w:jc w:val="both"/>
        <w:rPr>
          <w:bCs/>
          <w:iCs/>
          <w:color w:val="000000"/>
          <w:lang w:val="nl-NL"/>
        </w:rPr>
      </w:pPr>
    </w:p>
    <w:p w:rsidR="00C43D30" w:rsidRDefault="00C43D30" w:rsidP="007F450C">
      <w:pPr>
        <w:widowControl w:val="0"/>
        <w:ind w:firstLine="720"/>
        <w:jc w:val="both"/>
        <w:rPr>
          <w:b/>
          <w:bCs/>
          <w:lang w:val="it-IT" w:bidi="vi-VN"/>
        </w:rPr>
      </w:pPr>
      <w:r w:rsidRPr="00C43D30">
        <w:rPr>
          <w:b/>
          <w:bCs/>
          <w:lang w:val="en-SG"/>
        </w:rPr>
        <w:lastRenderedPageBreak/>
        <w:t xml:space="preserve">2. </w:t>
      </w:r>
      <w:r w:rsidRPr="00C43D30">
        <w:rPr>
          <w:b/>
          <w:bCs/>
          <w:lang w:val="it-IT" w:bidi="vi-VN"/>
        </w:rPr>
        <w:t>Cơ sở thực tiễn</w:t>
      </w:r>
      <w:r w:rsidR="00AB1CFC">
        <w:rPr>
          <w:b/>
          <w:bCs/>
          <w:lang w:val="it-IT" w:bidi="vi-VN"/>
        </w:rPr>
        <w:t xml:space="preserve"> </w:t>
      </w:r>
    </w:p>
    <w:p w:rsidR="00AB1CFC" w:rsidRDefault="00AB1CFC" w:rsidP="007F450C">
      <w:pPr>
        <w:widowControl w:val="0"/>
        <w:ind w:firstLine="720"/>
        <w:jc w:val="both"/>
        <w:rPr>
          <w:b/>
          <w:bCs/>
          <w:lang w:val="it-IT" w:bidi="vi-VN"/>
        </w:rPr>
      </w:pPr>
      <w:r>
        <w:rPr>
          <w:b/>
          <w:bCs/>
          <w:lang w:val="it-IT" w:bidi="vi-VN"/>
        </w:rPr>
        <w:t xml:space="preserve">2.1. Về các chính sách </w:t>
      </w:r>
      <w:r w:rsidRPr="00AB1CFC">
        <w:rPr>
          <w:b/>
          <w:bCs/>
          <w:lang w:val="it-IT" w:bidi="vi-VN"/>
        </w:rPr>
        <w:t xml:space="preserve">miễn, giảm, gia hạn thuế, phí, </w:t>
      </w:r>
      <w:r w:rsidR="0075442D">
        <w:rPr>
          <w:b/>
          <w:bCs/>
          <w:lang w:val="it-IT" w:bidi="vi-VN"/>
        </w:rPr>
        <w:t xml:space="preserve">lệ phí và </w:t>
      </w:r>
      <w:r w:rsidRPr="00AB1CFC">
        <w:rPr>
          <w:b/>
          <w:bCs/>
          <w:lang w:val="it-IT" w:bidi="vi-VN"/>
        </w:rPr>
        <w:t xml:space="preserve">tiền </w:t>
      </w:r>
      <w:r>
        <w:rPr>
          <w:b/>
          <w:bCs/>
          <w:lang w:val="it-IT" w:bidi="vi-VN"/>
        </w:rPr>
        <w:t>thuê</w:t>
      </w:r>
      <w:r w:rsidRPr="00AB1CFC">
        <w:rPr>
          <w:b/>
          <w:bCs/>
          <w:lang w:val="it-IT" w:bidi="vi-VN"/>
        </w:rPr>
        <w:t xml:space="preserve"> đất</w:t>
      </w:r>
    </w:p>
    <w:p w:rsidR="006C037A" w:rsidRPr="006C037A" w:rsidRDefault="006C037A" w:rsidP="00636007">
      <w:pPr>
        <w:ind w:firstLine="709"/>
        <w:jc w:val="both"/>
        <w:rPr>
          <w:i/>
          <w:lang w:val="en-US"/>
        </w:rPr>
      </w:pPr>
      <w:r>
        <w:rPr>
          <w:i/>
          <w:lang w:val="en-US"/>
        </w:rPr>
        <w:t>2.1.1.</w:t>
      </w:r>
      <w:r w:rsidRPr="006C037A">
        <w:rPr>
          <w:i/>
          <w:lang w:val="en-US"/>
        </w:rPr>
        <w:t xml:space="preserve"> Tình hình triển khai các giải pháp hỗ trợ trong thời gian qua</w:t>
      </w:r>
    </w:p>
    <w:p w:rsidR="00636007" w:rsidRDefault="00636007" w:rsidP="00636007">
      <w:pPr>
        <w:ind w:firstLine="709"/>
        <w:jc w:val="both"/>
        <w:rPr>
          <w:lang w:val="en-US"/>
        </w:rPr>
      </w:pPr>
      <w:r w:rsidRPr="005278C4">
        <w:t xml:space="preserve">Trong giai đoạn từ năm 2020-2023, trước ảnh hưởng của dịch Covid-19 và tác động của các vấn đề kinh tế, chính trị quốc tế đến sự phát triển kinh tế - xã hội của đất nước, hoạt động sản xuất kinh doanh của doanh nghiệp và đời sống của người dân, </w:t>
      </w:r>
      <w:r w:rsidR="00C76F0E">
        <w:rPr>
          <w:lang w:val="en-US"/>
        </w:rPr>
        <w:t>Chính phủ</w:t>
      </w:r>
      <w:r w:rsidRPr="005278C4">
        <w:t xml:space="preserve"> đã chủ động nghiên cứu, đề xuất, trình cấp có thẩm quyền cũng như ban hành theo thẩm quyền các giải pháp trong lĩnh vực tài chính với tổng quy mô hỗ trợ khoảng 700 nghìn tỷ đồng (năm 2020 khoảng 129 nghìn tỷ đồng, năm 2021 khoảng 145 nghìn tỷ đồng, năm 2022 khoảng 233 nghìn tỷ đồng và năm 2023 khoảng 196 nghìn tỷ đồng), đặc biệt là các giải pháp về gia hạn, miễn, giảm các khoản thuế, phí, lệ phí và tiền thuê đất (như gia hạn thuế GTGT, thuế thu nhập doanh nghiệp (TNDN), thuế thu nhập cá nhân (TNCN), thuế tiêu thụ đặc biệt (TTĐB)) và tiền thuê đất; miễn, giảm thuế TNDN, thuế TNCN, thuế GTGT, thuế nhập khẩu, thuế bảo vệ môi trường (BVMT), cùng nhiều khoản phí, lệ phí và tiền thuê đất để hỗ trợ doanh nghiệp, người dân và nền kinh tế. Theo đó, </w:t>
      </w:r>
      <w:r w:rsidR="00C76F0E">
        <w:rPr>
          <w:lang w:val="en-US"/>
        </w:rPr>
        <w:t>Chính phủ</w:t>
      </w:r>
      <w:r w:rsidRPr="005278C4">
        <w:t xml:space="preserve"> đã trình cấp có thẩm quyền và ban hành theo thẩm quyền 60 văn bản quy phạm pháp luật (trong đó có: 11 Nghị quyết của Quốc hội, Ủy ban Thường vụ Quốc hội; 19 Nghị định của Chính phủ; 04 Quyết định của Thủ tướng Chính phủ; 26 Thông tư của Bộ Tài chính). </w:t>
      </w:r>
    </w:p>
    <w:p w:rsidR="00636007" w:rsidRDefault="00636007" w:rsidP="00636007">
      <w:pPr>
        <w:jc w:val="both"/>
        <w:rPr>
          <w:lang w:val="en-US"/>
        </w:rPr>
      </w:pPr>
      <w:r>
        <w:rPr>
          <w:lang w:val="en-US"/>
        </w:rPr>
        <w:tab/>
        <w:t>Trong</w:t>
      </w:r>
      <w:r>
        <w:t xml:space="preserve"> năm 2024</w:t>
      </w:r>
      <w:r w:rsidRPr="005278C4">
        <w:t xml:space="preserve">, </w:t>
      </w:r>
      <w:r w:rsidR="00C76F0E">
        <w:rPr>
          <w:lang w:val="en-US"/>
        </w:rPr>
        <w:t>Chính phủ</w:t>
      </w:r>
      <w:r>
        <w:rPr>
          <w:lang w:val="en-US"/>
        </w:rPr>
        <w:t xml:space="preserve"> cũng</w:t>
      </w:r>
      <w:r w:rsidRPr="005278C4">
        <w:t xml:space="preserve"> đã tiếp tục chủ động nghiên cứu, đề xuất trình cấp có thẩm quyền cũng như ban hành theo thẩm quyền các giải pháp hỗ trợ doanh nghiệp, người dân gắn với công tác xây dựng, giao dự toán ngân sách nhà nước (NSNN) hàng năm để bảo đảm khả năng cân đối của NSNN cũng như để các địa phương chủ động trong việc thực hiện dự toán cân đối ngân sách địa phương. Các giải pháp về thuế, phí, lệ phí và tiền thuê đất đã và đang được thực hiện cho đến hết năm 2024 với quy mô hỗ trợ khoảng 191 nghìn tỷ đồng (trong đó: số tiền thuế và tiền thuê đất được gia hạn là khoảng 95 nghìn tỷ đồng; số tiền thuế, phí, lệ phí được giảm khoảng 96 nghìn tỷ đồng), cụ thể là: </w:t>
      </w:r>
    </w:p>
    <w:p w:rsidR="00636007" w:rsidRDefault="00636007" w:rsidP="00636007">
      <w:pPr>
        <w:jc w:val="both"/>
        <w:rPr>
          <w:lang w:val="en-US"/>
        </w:rPr>
      </w:pPr>
      <w:r>
        <w:rPr>
          <w:lang w:val="en-US"/>
        </w:rPr>
        <w:tab/>
      </w:r>
      <w:r w:rsidRPr="005278C4">
        <w:t xml:space="preserve">- Tiếp tục thực hiện giảm (2%) thuế suất thuế GTGT như đã áp dụng năm 2023 đối với một số nhóm hàng hóa, dịch vụ đang áp dụng mức thuế suất thuế GTGT 10% từ ngày 01/01/2024 đến hết ngày 31/12/2024 theo các Nghị quyết số 110/2023/QH15 ngày 29/11/2023 của Quốc hội và Nghị định số 94/2023/NĐ-CP ngày 28/12/2023 của Chính phủ; Nghị quyết số 142/2024/QH15 ngày 29/6/2024 và Nghị định số 72/2024/NĐ-CP ngày 30/6/2024 của Chính phủ. Dự kiến thực hiện giải pháp này số tiền thuế được giảm khoảng 49 nghìn tỷ đồng. </w:t>
      </w:r>
    </w:p>
    <w:p w:rsidR="00636007" w:rsidRDefault="00636007" w:rsidP="00636007">
      <w:pPr>
        <w:jc w:val="both"/>
        <w:rPr>
          <w:lang w:val="en-US"/>
        </w:rPr>
      </w:pPr>
      <w:r>
        <w:rPr>
          <w:lang w:val="en-US"/>
        </w:rPr>
        <w:lastRenderedPageBreak/>
        <w:tab/>
      </w:r>
      <w:r w:rsidRPr="005278C4">
        <w:t xml:space="preserve">- Tiếp tục thực hiện giảm mức thuế BVMT đối với xăng, dầu, mỡ nhờn trong năm 2024 theo Nghị quyết số 42/2023/UBTVQH15 ngày 18/12/2023 của Ủy ban Thường vụ Quốc hội. Dự kiến thực hiện Nghị quyết này sẽ giảm thu NSNN năm 2024 khoảng 42,5 nghìn tỷ đồng. </w:t>
      </w:r>
    </w:p>
    <w:p w:rsidR="00636007" w:rsidRDefault="00636007" w:rsidP="00636007">
      <w:pPr>
        <w:jc w:val="both"/>
        <w:rPr>
          <w:lang w:val="en-US"/>
        </w:rPr>
      </w:pPr>
      <w:r>
        <w:rPr>
          <w:lang w:val="en-US"/>
        </w:rPr>
        <w:tab/>
      </w:r>
      <w:r w:rsidRPr="005278C4">
        <w:t xml:space="preserve">- Tiếp tục gia hạn thời hạn nộp thuế GTGT, thuế TNDN, thuế TNCN và tiền thuê đất trong năm 2024 theo Nghị định số 64/2024/NĐ-CP ngày 17/6/2024 của Chính phủ. Dự kiến số tiền thuế, tiền thuê đất được xem xét gia hạn là khoảng 84 nghìn tỷ đồng. </w:t>
      </w:r>
    </w:p>
    <w:p w:rsidR="00636007" w:rsidRDefault="00636007" w:rsidP="00636007">
      <w:pPr>
        <w:jc w:val="both"/>
        <w:rPr>
          <w:lang w:val="en-US"/>
        </w:rPr>
      </w:pPr>
      <w:r>
        <w:rPr>
          <w:lang w:val="en-US"/>
        </w:rPr>
        <w:tab/>
      </w:r>
      <w:r w:rsidRPr="005278C4">
        <w:t xml:space="preserve">- Tiếp tục gia hạn thời hạn nộp thuế TTĐB phải nộp phát sinh của kỳ tính thuế tháng 5, tháng 6, tháng 7, tháng 8 và tháng 9 năm 2024 đối với ô tô sản xuất, lắp ráp trong nước theo Nghị định số 65/2024/NĐ-CP ngày 17/6/2024 của Chính phủ. Dự kiến số tiền thuế </w:t>
      </w:r>
      <w:r w:rsidR="009B1A5C">
        <w:rPr>
          <w:lang w:val="en-US"/>
        </w:rPr>
        <w:t>TTĐB</w:t>
      </w:r>
      <w:r w:rsidRPr="005278C4">
        <w:t xml:space="preserve"> được gia hạn khoảng 10,7 nghìn tỷ đồng.</w:t>
      </w:r>
    </w:p>
    <w:p w:rsidR="00636007" w:rsidRDefault="00636007" w:rsidP="00636007">
      <w:pPr>
        <w:jc w:val="both"/>
        <w:rPr>
          <w:lang w:val="en-US"/>
        </w:rPr>
      </w:pPr>
      <w:r>
        <w:rPr>
          <w:lang w:val="en-US"/>
        </w:rPr>
        <w:tab/>
      </w:r>
      <w:r w:rsidRPr="005278C4">
        <w:t>- Tiếp tục giảm 50% mức thu lệ phí trước bạ từ tháng 9 đến hết tháng 11/2024 đối vớ</w:t>
      </w:r>
      <w:r w:rsidR="00710BE5">
        <w:t xml:space="preserve">i </w:t>
      </w:r>
      <w:r w:rsidRPr="005278C4">
        <w:t xml:space="preserve">ô tô sản xuất, lắp ráp trong nước theo Nghị định số 109/2024/NĐ-CP ngày 29/8/2024 của Chính phủ. Dự kiến số tiền lệ phí trước bạ giảm khoảng 2.600 tỷ đồng. </w:t>
      </w:r>
    </w:p>
    <w:p w:rsidR="00636007" w:rsidRDefault="00636007" w:rsidP="00636007">
      <w:pPr>
        <w:jc w:val="both"/>
        <w:rPr>
          <w:lang w:val="en-US"/>
        </w:rPr>
      </w:pPr>
      <w:r>
        <w:rPr>
          <w:lang w:val="en-US"/>
        </w:rPr>
        <w:tab/>
      </w:r>
      <w:r w:rsidRPr="005278C4">
        <w:t xml:space="preserve">- Tiếp tục giảm mức thu đối với 36 khoản phí, lệ phí, áp dụng từ ngày 01/7/2024 đến hết ngày 31/12/2024 để hỗ trợ cắt giảm chi phí cho doanh nghiệp, người dân trong năm 2024 theo Thông tư số 43/2024/TT-BTC ngày 28/6/2024 của Bộ Tài chính. Dự kiến số tiền phí, lệ phí được giảm khoảng 700 tỷ đồng. </w:t>
      </w:r>
    </w:p>
    <w:p w:rsidR="00636007" w:rsidRDefault="00636007" w:rsidP="00636007">
      <w:pPr>
        <w:jc w:val="both"/>
        <w:rPr>
          <w:lang w:val="en-US"/>
        </w:rPr>
      </w:pPr>
      <w:r>
        <w:rPr>
          <w:lang w:val="en-US"/>
        </w:rPr>
        <w:tab/>
      </w:r>
      <w:r w:rsidRPr="005278C4">
        <w:t xml:space="preserve">Bộ Tài chính đã ban hành Thông tư số 63/2023/TT-BTC ngày 16/10/2023 sửa đổi, bổ sung một số điều của một số Thông tư quy định về phí, lệ phí của Bộ Tài chính nhằm khuyến khích sử dụng dịch vụ công trực tuyến (có hiệu lực từ 01/12/2023 và áp dụng đến hết năm 2025). Với mức giảm phí, lệ phí từ 10% đến 50%, dự kiến thực hiện chính sách này sẽ hỗ trợ người dân, doanh nghiệp khoảng 100 tỷ đồng/năm. </w:t>
      </w:r>
    </w:p>
    <w:p w:rsidR="00636007" w:rsidRDefault="00636007" w:rsidP="00636007">
      <w:pPr>
        <w:jc w:val="both"/>
        <w:rPr>
          <w:lang w:val="en-US"/>
        </w:rPr>
      </w:pPr>
      <w:r>
        <w:rPr>
          <w:lang w:val="en-US"/>
        </w:rPr>
        <w:tab/>
      </w:r>
      <w:r w:rsidRPr="005278C4">
        <w:t xml:space="preserve">Ngoài ra, Chính phủ </w:t>
      </w:r>
      <w:r w:rsidR="00C76F0E">
        <w:rPr>
          <w:lang w:val="en-US"/>
        </w:rPr>
        <w:t xml:space="preserve">đã </w:t>
      </w:r>
      <w:r w:rsidRPr="005278C4">
        <w:t xml:space="preserve">ban hành Nghị định số 144/2024/NĐ-CP ngày 01/11/2024 sửa đổi, bổ sung một số điều của Nghị định số 26/2023/NĐ-CP ngày 31/5/2023 về Biểu thuế xuất khẩu, Biểu thuế nhập khẩu ưu đãi, Danh mục hàng hóa và mức thuế tuyệt đối, thuế hỗn hợp, thuế nhập khẩu ngoài ngạch thuế quan, trong đó có điều chỉnh chính sách thuế nhập khẩu, thuế xuất khẩu nhằm tháo gỡ khó khăn cho sản xuất kinh doanh. Đồng thời, hiện nay </w:t>
      </w:r>
      <w:r w:rsidR="00C76F0E">
        <w:rPr>
          <w:lang w:val="en-US"/>
        </w:rPr>
        <w:t>Chính phủ</w:t>
      </w:r>
      <w:r w:rsidRPr="005278C4">
        <w:t xml:space="preserve"> đang xây dựng hồ sơ dự thảo Nghị định quy định việc giảm tiền thuê đất năm 2024 nhằm tiếp tục hỗ trợ nền kinh tế phục hồi, tăng trưởng, đặc biệt sau cơn bão số 3 (Yagi).</w:t>
      </w:r>
    </w:p>
    <w:p w:rsidR="006C037A" w:rsidRDefault="00636007" w:rsidP="00636007">
      <w:pPr>
        <w:jc w:val="both"/>
        <w:rPr>
          <w:lang w:val="en-US"/>
        </w:rPr>
      </w:pPr>
      <w:r>
        <w:rPr>
          <w:lang w:val="en-US"/>
        </w:rPr>
        <w:tab/>
      </w:r>
      <w:r w:rsidRPr="005278C4">
        <w:t xml:space="preserve">Việc ban hành và thực hiện các giải pháp nêu trên cũng đã nhận được sự đồng tình, ủng hộ và đánh giá cao của cộng đồng doanh nghiệp, người dân; góp phần hỗ trợ doanh nghiệp, người dân vượt qua khó khăn, ổn định hoạt </w:t>
      </w:r>
      <w:r w:rsidRPr="005278C4">
        <w:lastRenderedPageBreak/>
        <w:t>động sản xuất kinh doanh để đóng góp vào kết quả tích cực về phát triển kinh tế - xã hội</w:t>
      </w:r>
      <w:r w:rsidR="006C037A">
        <w:rPr>
          <w:lang w:val="en-US"/>
        </w:rPr>
        <w:t>.</w:t>
      </w:r>
    </w:p>
    <w:p w:rsidR="00085DA0" w:rsidRDefault="006C037A" w:rsidP="006C037A">
      <w:pPr>
        <w:ind w:firstLine="709"/>
        <w:jc w:val="both"/>
        <w:rPr>
          <w:bCs/>
          <w:i/>
          <w:iCs/>
          <w:lang w:val="en-US"/>
        </w:rPr>
      </w:pPr>
      <w:r w:rsidRPr="006C037A">
        <w:rPr>
          <w:bCs/>
          <w:i/>
          <w:iCs/>
          <w:lang w:val="en-US"/>
        </w:rPr>
        <w:t>2.1.2. Đề xuất giải pháp thời gian tới</w:t>
      </w:r>
    </w:p>
    <w:p w:rsidR="006C037A" w:rsidRDefault="006C037A" w:rsidP="00585E44">
      <w:pPr>
        <w:ind w:firstLine="709"/>
        <w:jc w:val="both"/>
        <w:rPr>
          <w:bCs/>
          <w:iCs/>
          <w:lang w:val="sv-SE"/>
        </w:rPr>
      </w:pPr>
      <w:r>
        <w:rPr>
          <w:lang w:val="nl-NL"/>
        </w:rPr>
        <w:t>C</w:t>
      </w:r>
      <w:r>
        <w:rPr>
          <w:bCs/>
          <w:iCs/>
          <w:lang w:val="sv-SE"/>
        </w:rPr>
        <w:t>ó thể thấy trong thời gian qua nhiều giải pháp hỗ trợ về thuế</w:t>
      </w:r>
      <w:r w:rsidR="0075442D">
        <w:rPr>
          <w:bCs/>
          <w:iCs/>
          <w:lang w:val="sv-SE"/>
        </w:rPr>
        <w:t>, phí,</w:t>
      </w:r>
      <w:r>
        <w:rPr>
          <w:bCs/>
          <w:iCs/>
          <w:lang w:val="sv-SE"/>
        </w:rPr>
        <w:t xml:space="preserve"> lệ phí </w:t>
      </w:r>
      <w:r w:rsidR="0075442D">
        <w:rPr>
          <w:bCs/>
          <w:iCs/>
          <w:lang w:val="sv-SE"/>
        </w:rPr>
        <w:t xml:space="preserve">và tiền thuê đất </w:t>
      </w:r>
      <w:r>
        <w:rPr>
          <w:bCs/>
          <w:iCs/>
          <w:lang w:val="sv-SE"/>
        </w:rPr>
        <w:t>nhằm giảm nghĩa vụ đóng góp của doanh nghiệp, người dân được triển khai thực hiện với giá trị hỗ trợ lớn, phạm vi hỗ trợ rộng, đã góp phần vào những kết quả tích cực trong phục hồi và phát triển kinh tế</w:t>
      </w:r>
      <w:r w:rsidR="00710BE5">
        <w:rPr>
          <w:bCs/>
          <w:iCs/>
          <w:lang w:val="sv-SE"/>
        </w:rPr>
        <w:t xml:space="preserve"> -</w:t>
      </w:r>
      <w:r>
        <w:rPr>
          <w:bCs/>
          <w:iCs/>
          <w:lang w:val="sv-SE"/>
        </w:rPr>
        <w:t xml:space="preserve"> xã hội cũng như hoạt động của doanh nghiệp, người dân, qua đó đóng góp trở lại cho NSNN. </w:t>
      </w:r>
    </w:p>
    <w:p w:rsidR="006C037A" w:rsidRDefault="006C037A" w:rsidP="006C037A">
      <w:pPr>
        <w:jc w:val="both"/>
        <w:rPr>
          <w:bCs/>
          <w:iCs/>
          <w:lang w:val="sv-SE"/>
        </w:rPr>
      </w:pPr>
      <w:r>
        <w:rPr>
          <w:bCs/>
          <w:iCs/>
          <w:lang w:val="sv-SE"/>
        </w:rPr>
        <w:tab/>
        <w:t>Tuy nhiên, bên cạnh những yếu tố tích cực thì cũng tồn tại không ít thách thức, rủi ro có thể ảnh hưởng tới việc thực hiện mục tiêu tăng trưởng kinh tế của năm 2025 (kế hoạch là 6,5%-7%). K</w:t>
      </w:r>
      <w:r w:rsidRPr="00544468">
        <w:rPr>
          <w:bCs/>
          <w:iCs/>
        </w:rPr>
        <w:t>inh tế toàn cầu đang phải đối mặt với nhiều thách thức có thể kéo lùi đà tăng trưởng, từ sự gia tăng bất ổn địa chính trị</w:t>
      </w:r>
      <w:r>
        <w:rPr>
          <w:bCs/>
          <w:iCs/>
          <w:lang w:val="en-US"/>
        </w:rPr>
        <w:t xml:space="preserve"> tại nhiều khu vực,</w:t>
      </w:r>
      <w:r w:rsidRPr="00544468">
        <w:rPr>
          <w:bCs/>
          <w:iCs/>
        </w:rPr>
        <w:t xml:space="preserve"> cho tới việc các quốc gia</w:t>
      </w:r>
      <w:r>
        <w:rPr>
          <w:bCs/>
          <w:iCs/>
          <w:lang w:val="en-US"/>
        </w:rPr>
        <w:t xml:space="preserve"> tăng cường</w:t>
      </w:r>
      <w:r w:rsidRPr="00544468">
        <w:rPr>
          <w:bCs/>
          <w:iCs/>
        </w:rPr>
        <w:t xml:space="preserve"> theo đuổi chính sách bảo hộ</w:t>
      </w:r>
      <w:r>
        <w:rPr>
          <w:bCs/>
          <w:iCs/>
        </w:rPr>
        <w:t xml:space="preserve"> </w:t>
      </w:r>
      <w:r>
        <w:rPr>
          <w:bCs/>
          <w:iCs/>
          <w:lang w:val="en-US"/>
        </w:rPr>
        <w:t>kinh tế</w:t>
      </w:r>
      <w:r w:rsidRPr="00544468">
        <w:rPr>
          <w:bCs/>
          <w:iCs/>
        </w:rPr>
        <w:t>.</w:t>
      </w:r>
      <w:r>
        <w:rPr>
          <w:bCs/>
          <w:iCs/>
          <w:lang w:val="en-US"/>
        </w:rPr>
        <w:t xml:space="preserve"> </w:t>
      </w:r>
      <w:r>
        <w:rPr>
          <w:bCs/>
          <w:iCs/>
          <w:lang w:val="sv-SE"/>
        </w:rPr>
        <w:t>Ở trong nước, t</w:t>
      </w:r>
      <w:r w:rsidRPr="00544468">
        <w:rPr>
          <w:bCs/>
          <w:iCs/>
          <w:lang w:val="en-US"/>
        </w:rPr>
        <w:t>ỷ lệ doanh nghiệp rút lui khỏi thị trường vẫn có xu hướng cao</w:t>
      </w:r>
      <w:r>
        <w:rPr>
          <w:bCs/>
          <w:iCs/>
          <w:lang w:val="en-US"/>
        </w:rPr>
        <w:t>;</w:t>
      </w:r>
      <w:r w:rsidRPr="00544468">
        <w:rPr>
          <w:bCs/>
          <w:iCs/>
          <w:lang w:val="en-US"/>
        </w:rPr>
        <w:t xml:space="preserve"> </w:t>
      </w:r>
      <w:r>
        <w:rPr>
          <w:bCs/>
          <w:iCs/>
          <w:lang w:val="en-US"/>
        </w:rPr>
        <w:t>tiêu dùng</w:t>
      </w:r>
      <w:r w:rsidRPr="00544468">
        <w:rPr>
          <w:bCs/>
          <w:iCs/>
          <w:lang w:val="en-US"/>
        </w:rPr>
        <w:t>, giải ngân đầu tư công chưa được như kỳ vọ</w:t>
      </w:r>
      <w:r>
        <w:rPr>
          <w:bCs/>
          <w:iCs/>
          <w:lang w:val="en-US"/>
        </w:rPr>
        <w:t>ng;</w:t>
      </w:r>
      <w:r w:rsidRPr="00544468">
        <w:rPr>
          <w:bCs/>
          <w:iCs/>
          <w:lang w:val="en-US"/>
        </w:rPr>
        <w:t xml:space="preserve"> </w:t>
      </w:r>
      <w:r>
        <w:rPr>
          <w:bCs/>
          <w:iCs/>
          <w:lang w:val="en-US"/>
        </w:rPr>
        <w:t>c</w:t>
      </w:r>
      <w:r w:rsidRPr="00544468">
        <w:rPr>
          <w:bCs/>
          <w:iCs/>
          <w:lang w:val="en-US"/>
        </w:rPr>
        <w:t>ác yếu tố đầu vào trong sản xuất gặp nhiều rào cản cũng như khó khăn trong chuyển dịch mô hình tăng trưởng</w:t>
      </w:r>
      <w:r>
        <w:rPr>
          <w:bCs/>
          <w:iCs/>
          <w:lang w:val="en-US"/>
        </w:rPr>
        <w:t>; đổ</w:t>
      </w:r>
      <w:r w:rsidRPr="00544468">
        <w:rPr>
          <w:bCs/>
          <w:iCs/>
          <w:lang w:val="en-US"/>
        </w:rPr>
        <w:t>i mới môi trường kinh doanh và cải cách thể chế mặc dù đạt được một số tiến bộ, nhưng vẫn chậm, tiềm ẩn nhiều rủi ro trong đầu tư, kinh doanh của doanh nghiệp</w:t>
      </w:r>
      <w:r w:rsidR="0075442D">
        <w:rPr>
          <w:bCs/>
          <w:iCs/>
          <w:lang w:val="en-US"/>
        </w:rPr>
        <w:t>, người dân</w:t>
      </w:r>
      <w:r>
        <w:rPr>
          <w:bCs/>
          <w:iCs/>
          <w:lang w:val="en-US"/>
        </w:rPr>
        <w:t xml:space="preserve">… </w:t>
      </w:r>
      <w:r>
        <w:rPr>
          <w:bCs/>
          <w:iCs/>
          <w:lang w:val="sv-SE"/>
        </w:rPr>
        <w:t>Thực tế này đang đặt ra nhiều thách thức đối với mục tiêu tăng trưởng của năm 2025 cũng như tác động không nhỏ tới hoạt động của doanh nghiệp,</w:t>
      </w:r>
      <w:r w:rsidR="0075442D">
        <w:rPr>
          <w:bCs/>
          <w:iCs/>
          <w:lang w:val="sv-SE"/>
        </w:rPr>
        <w:t xml:space="preserve"> người dân</w:t>
      </w:r>
      <w:r>
        <w:rPr>
          <w:bCs/>
          <w:iCs/>
          <w:lang w:val="sv-SE"/>
        </w:rPr>
        <w:t xml:space="preserve"> là động lực của tăng trưởng. Do đó, đòi hỏi cần có thêm giải pháp hỗ trợ doanh nghiệp</w:t>
      </w:r>
      <w:r w:rsidR="0075442D">
        <w:rPr>
          <w:bCs/>
          <w:iCs/>
          <w:lang w:val="sv-SE"/>
        </w:rPr>
        <w:t>, người dân</w:t>
      </w:r>
      <w:r>
        <w:rPr>
          <w:bCs/>
          <w:iCs/>
          <w:lang w:val="sv-SE"/>
        </w:rPr>
        <w:t xml:space="preserve"> và nền kinh tế để có thể tiếp tục duy trì đà phục hồi và tăng trưởng.</w:t>
      </w:r>
    </w:p>
    <w:p w:rsidR="006C037A" w:rsidRPr="006C037A" w:rsidRDefault="006C037A" w:rsidP="006C037A">
      <w:pPr>
        <w:ind w:firstLine="720"/>
        <w:jc w:val="both"/>
        <w:rPr>
          <w:bCs/>
          <w:iCs/>
          <w:lang w:val="sv-SE"/>
        </w:rPr>
      </w:pPr>
      <w:r w:rsidRPr="006C037A">
        <w:rPr>
          <w:bCs/>
          <w:iCs/>
          <w:lang w:val="sv-SE"/>
        </w:rPr>
        <w:t>Từ</w:t>
      </w:r>
      <w:r w:rsidR="0095265C">
        <w:rPr>
          <w:bCs/>
          <w:iCs/>
          <w:lang w:val="sv-SE"/>
        </w:rPr>
        <w:t xml:space="preserve"> thông </w:t>
      </w:r>
      <w:r w:rsidRPr="006C037A">
        <w:rPr>
          <w:bCs/>
          <w:iCs/>
          <w:lang w:val="sv-SE"/>
        </w:rPr>
        <w:t>lệ</w:t>
      </w:r>
      <w:r w:rsidR="0095265C">
        <w:rPr>
          <w:bCs/>
          <w:iCs/>
          <w:lang w:val="sv-SE"/>
        </w:rPr>
        <w:t xml:space="preserve"> và kinh </w:t>
      </w:r>
      <w:r w:rsidRPr="006C037A">
        <w:rPr>
          <w:bCs/>
          <w:iCs/>
          <w:lang w:val="sv-SE"/>
        </w:rPr>
        <w:t xml:space="preserve">nghiệm triển khai các giải pháp về thuế thường được các nước áp dụng thì chủ yếu tập trung vào các sắc thuế nhằm giải quyết trực tiếp vấn đề khó khăn về dòng tiền cho doanh nghiệp như thuế GTGT, thuế TNDN, </w:t>
      </w:r>
      <w:r w:rsidR="00CC0BBA">
        <w:rPr>
          <w:bCs/>
          <w:iCs/>
          <w:lang w:val="sv-SE"/>
        </w:rPr>
        <w:t xml:space="preserve">ngoài ra </w:t>
      </w:r>
      <w:r w:rsidRPr="006C037A">
        <w:rPr>
          <w:bCs/>
          <w:iCs/>
          <w:lang w:val="sv-SE"/>
        </w:rPr>
        <w:t xml:space="preserve">giảm chi phí về mặt bằng, </w:t>
      </w:r>
      <w:r w:rsidR="00E56CEA">
        <w:rPr>
          <w:bCs/>
          <w:iCs/>
          <w:lang w:val="sv-SE"/>
        </w:rPr>
        <w:t xml:space="preserve">tiền điện nước, </w:t>
      </w:r>
      <w:r w:rsidRPr="006C037A">
        <w:rPr>
          <w:bCs/>
          <w:iCs/>
          <w:lang w:val="sv-SE"/>
        </w:rPr>
        <w:t xml:space="preserve">tiền </w:t>
      </w:r>
      <w:r w:rsidR="00E56CEA">
        <w:rPr>
          <w:bCs/>
          <w:iCs/>
          <w:lang w:val="sv-SE"/>
        </w:rPr>
        <w:t>thuê</w:t>
      </w:r>
      <w:r w:rsidRPr="006C037A">
        <w:rPr>
          <w:bCs/>
          <w:iCs/>
          <w:lang w:val="sv-SE"/>
        </w:rPr>
        <w:t xml:space="preserve"> đất và không sử dụng các sắc thuế TTĐB, thuế tài nguyên, thuế </w:t>
      </w:r>
      <w:r w:rsidR="009B1A5C">
        <w:rPr>
          <w:bCs/>
          <w:iCs/>
          <w:lang w:val="sv-SE"/>
        </w:rPr>
        <w:t>BVMT</w:t>
      </w:r>
      <w:r w:rsidRPr="006C037A">
        <w:rPr>
          <w:bCs/>
          <w:iCs/>
          <w:lang w:val="sv-SE"/>
        </w:rPr>
        <w:t xml:space="preserve"> (trừ thuế BVMT đối với mặt hàng xăng</w:t>
      </w:r>
      <w:r w:rsidR="00561C64">
        <w:rPr>
          <w:bCs/>
          <w:iCs/>
          <w:lang w:val="sv-SE"/>
        </w:rPr>
        <w:t>,</w:t>
      </w:r>
      <w:r w:rsidRPr="006C037A">
        <w:rPr>
          <w:bCs/>
          <w:iCs/>
          <w:lang w:val="sv-SE"/>
        </w:rPr>
        <w:t xml:space="preserve"> dầu</w:t>
      </w:r>
      <w:r w:rsidR="00561C64">
        <w:rPr>
          <w:bCs/>
          <w:iCs/>
          <w:lang w:val="sv-SE"/>
        </w:rPr>
        <w:t>, mỡ nhờn</w:t>
      </w:r>
      <w:r w:rsidRPr="006C037A">
        <w:rPr>
          <w:bCs/>
          <w:iCs/>
          <w:lang w:val="sv-SE"/>
        </w:rPr>
        <w:t xml:space="preserve"> do là mặt hàng thiết yếu, có ảnh hưởng rộng khắp tới hoạt động sản xuất kinh doanh và đời sống người dân) bởi các sắc thuế này chỉ thu vào một nhóm hàng hóa, dịch vụ nhất định và không mang tính phổ quát đến mọi doanh nghiệp, tổ chức, hộ gia đình, cá nhân kinh doanh (thuế TTĐB thu vào nhóm hàng hóa, dịch vụ cơ bản không khuyến khích sản xuất hoặc hạn chế tiêu dùng; thuế tài nguyên thu vào hoạt động khai thác tài nguyên khoáng sả</w:t>
      </w:r>
      <w:r w:rsidR="00561C64">
        <w:rPr>
          <w:bCs/>
          <w:iCs/>
          <w:lang w:val="sv-SE"/>
        </w:rPr>
        <w:t>n</w:t>
      </w:r>
      <w:r w:rsidRPr="006C037A">
        <w:rPr>
          <w:bCs/>
          <w:iCs/>
          <w:lang w:val="sv-SE"/>
        </w:rPr>
        <w:t>; thuế BVMT thu vào sản phẩm, hàng hóa khi sử dụng gây tác động xấu đến môi trường</w:t>
      </w:r>
      <w:r w:rsidR="00FC073D">
        <w:rPr>
          <w:bCs/>
          <w:iCs/>
          <w:lang w:val="sv-SE"/>
        </w:rPr>
        <w:t>)</w:t>
      </w:r>
      <w:r w:rsidRPr="006C037A">
        <w:rPr>
          <w:bCs/>
          <w:iCs/>
          <w:lang w:val="sv-SE"/>
        </w:rPr>
        <w:t>. Các nước cũng thường không thực hiện giải pháp giảm thuế TNCN mà hỗ trợ thông qua phát tiền mặt trực tiếp cho người dân.</w:t>
      </w:r>
    </w:p>
    <w:p w:rsidR="006C037A" w:rsidRPr="005521EB" w:rsidRDefault="006C037A" w:rsidP="006C037A">
      <w:pPr>
        <w:jc w:val="both"/>
      </w:pPr>
      <w:r>
        <w:rPr>
          <w:bCs/>
          <w:iCs/>
          <w:lang w:val="en-US"/>
        </w:rPr>
        <w:lastRenderedPageBreak/>
        <w:tab/>
      </w:r>
      <w:r w:rsidRPr="005521EB">
        <w:t>Tổng kết, đánh giá tình hình thực hiện các giải pháp hỗ trợ thời gian qua thì các giải pháp có hiệu quả cao, tác động tích cực ngay tới hoạt động của doanh nghiệp tập trung vào gia hạn thời hạn nộp thuế; giảm thuế GTGT, thuế BVMT (đối với các mặt hàng xăng, dầu</w:t>
      </w:r>
      <w:r>
        <w:rPr>
          <w:lang w:val="en-US"/>
        </w:rPr>
        <w:t>, mỡ nhờn</w:t>
      </w:r>
      <w:r w:rsidRPr="005521EB">
        <w:t xml:space="preserve">) và tiền thuê đất; giảm các khoản thu phí, lệ phí. Ngoài ra, qua rà soát thêm một số sắc thuế khác có thể xem xét giảm nghĩa vụ thì còn có thuế sử dụng đất phi nông nghiệp, tuy nhiên tính hiệu quả không cao do số thu từ sắc thuế này thấp (chỉ hơn 02 nghìn tỷ đồng mỗi năm, chiếm 0,13% tổng thu NSNN; trong khi các quốc gia khác có số thu từ sắc thuế tương tự là 5% tổng thu hàng năm). </w:t>
      </w:r>
    </w:p>
    <w:p w:rsidR="006C037A" w:rsidRDefault="006C037A" w:rsidP="006C037A">
      <w:pPr>
        <w:jc w:val="both"/>
        <w:rPr>
          <w:bCs/>
          <w:iCs/>
          <w:lang w:val="sv-SE"/>
        </w:rPr>
      </w:pPr>
      <w:r w:rsidRPr="00952089">
        <w:tab/>
      </w:r>
      <w:r>
        <w:rPr>
          <w:bCs/>
          <w:iCs/>
          <w:lang w:val="sv-SE"/>
        </w:rPr>
        <w:t xml:space="preserve">Để kịp thời ứng phó với diễn biến tình hình kinh tế - xã hội, đồng thời cân nhắc, tính toán phù hợp với điều kiện thực tế, cần thiết tiếp tục thực hiện một số giải pháp về thuế nhằm hỗ trợ doanh nghiệp, người dân trong năm 2025, tập trung vào các giải pháp được đánh giá mang lại hiệu quả cao, </w:t>
      </w:r>
      <w:r w:rsidRPr="000646E4">
        <w:rPr>
          <w:szCs w:val="28"/>
          <w:lang w:val="nl-NL"/>
        </w:rPr>
        <w:t xml:space="preserve">vừa </w:t>
      </w:r>
      <w:r w:rsidRPr="000646E4">
        <w:rPr>
          <w:szCs w:val="28"/>
        </w:rPr>
        <w:t xml:space="preserve">giúp giảm giá thành </w:t>
      </w:r>
      <w:r w:rsidRPr="000646E4">
        <w:rPr>
          <w:szCs w:val="28"/>
          <w:lang w:val="nl-NL"/>
        </w:rPr>
        <w:t xml:space="preserve">hàng hóa, </w:t>
      </w:r>
      <w:r w:rsidRPr="000646E4">
        <w:rPr>
          <w:szCs w:val="28"/>
        </w:rPr>
        <w:t xml:space="preserve">dịch vụ, </w:t>
      </w:r>
      <w:r>
        <w:rPr>
          <w:szCs w:val="28"/>
          <w:lang w:val="en-US"/>
        </w:rPr>
        <w:t>kích thích tiêu dùng,</w:t>
      </w:r>
      <w:r w:rsidRPr="000646E4">
        <w:rPr>
          <w:szCs w:val="28"/>
        </w:rPr>
        <w:t xml:space="preserve"> thúc đẩy sản xuất kinh doanh và tạo thêm công ăn việc làm cho người lao động</w:t>
      </w:r>
      <w:r w:rsidRPr="000646E4">
        <w:rPr>
          <w:szCs w:val="28"/>
          <w:lang w:val="nl-NL"/>
        </w:rPr>
        <w:t>, đồng thời góp phần kiểm soát lạm phát, ổn định kinh tế vĩ mô và bảo đảm an sinh xã hội</w:t>
      </w:r>
      <w:r>
        <w:rPr>
          <w:szCs w:val="28"/>
          <w:lang w:val="nl-NL"/>
        </w:rPr>
        <w:t>,</w:t>
      </w:r>
      <w:r w:rsidRPr="000646E4">
        <w:rPr>
          <w:szCs w:val="28"/>
          <w:lang w:val="nl-NL"/>
        </w:rPr>
        <w:t xml:space="preserve"> </w:t>
      </w:r>
      <w:r w:rsidR="00FC073D">
        <w:rPr>
          <w:szCs w:val="28"/>
          <w:lang w:val="nl-NL"/>
        </w:rPr>
        <w:t xml:space="preserve">đó là: giảm thuế GTGT; </w:t>
      </w:r>
      <w:r>
        <w:rPr>
          <w:bCs/>
          <w:iCs/>
          <w:lang w:val="sv-SE"/>
        </w:rPr>
        <w:t>giảm thu</w:t>
      </w:r>
      <w:r w:rsidR="00FC073D">
        <w:rPr>
          <w:bCs/>
          <w:iCs/>
          <w:lang w:val="sv-SE"/>
        </w:rPr>
        <w:t>ế</w:t>
      </w:r>
      <w:r>
        <w:rPr>
          <w:bCs/>
          <w:iCs/>
          <w:lang w:val="sv-SE"/>
        </w:rPr>
        <w:t xml:space="preserve"> BVMT đối với xăng, dầu, mỡ nhờn</w:t>
      </w:r>
      <w:r w:rsidR="00D86DFF">
        <w:rPr>
          <w:bCs/>
          <w:iCs/>
          <w:lang w:val="sv-SE"/>
        </w:rPr>
        <w:t xml:space="preserve"> (</w:t>
      </w:r>
      <w:r w:rsidR="009B1A5C">
        <w:rPr>
          <w:szCs w:val="28"/>
          <w:lang w:val="nl-NL"/>
        </w:rPr>
        <w:t>n</w:t>
      </w:r>
      <w:r w:rsidR="00646E1E" w:rsidRPr="00801A2D">
        <w:rPr>
          <w:szCs w:val="28"/>
          <w:lang w:val="nl-NL"/>
        </w:rPr>
        <w:t xml:space="preserve">gày </w:t>
      </w:r>
      <w:r w:rsidR="00646E1E">
        <w:rPr>
          <w:szCs w:val="28"/>
        </w:rPr>
        <w:t>01</w:t>
      </w:r>
      <w:r w:rsidR="00646E1E" w:rsidRPr="00801A2D">
        <w:rPr>
          <w:szCs w:val="28"/>
          <w:lang w:val="nl-NL"/>
        </w:rPr>
        <w:t>/</w:t>
      </w:r>
      <w:r w:rsidR="00646E1E">
        <w:rPr>
          <w:szCs w:val="28"/>
        </w:rPr>
        <w:t>11</w:t>
      </w:r>
      <w:r w:rsidR="00646E1E" w:rsidRPr="00801A2D">
        <w:rPr>
          <w:szCs w:val="28"/>
          <w:lang w:val="nl-NL"/>
        </w:rPr>
        <w:t>/202</w:t>
      </w:r>
      <w:r w:rsidR="00646E1E">
        <w:rPr>
          <w:szCs w:val="28"/>
        </w:rPr>
        <w:t xml:space="preserve">4, </w:t>
      </w:r>
      <w:r w:rsidR="00646E1E" w:rsidRPr="004C5543">
        <w:rPr>
          <w:color w:val="000000"/>
          <w:szCs w:val="28"/>
          <w:lang w:val="nl-NL"/>
        </w:rPr>
        <w:t xml:space="preserve">Bộ Tài chính </w:t>
      </w:r>
      <w:r w:rsidR="00646E1E">
        <w:rPr>
          <w:color w:val="000000"/>
          <w:szCs w:val="28"/>
          <w:lang w:val="nl-NL"/>
        </w:rPr>
        <w:t xml:space="preserve">đã có </w:t>
      </w:r>
      <w:r w:rsidR="00646E1E">
        <w:rPr>
          <w:szCs w:val="28"/>
          <w:lang w:val="nl-NL"/>
        </w:rPr>
        <w:t>c</w:t>
      </w:r>
      <w:r w:rsidR="00646E1E" w:rsidRPr="00801A2D">
        <w:rPr>
          <w:szCs w:val="28"/>
          <w:lang w:val="nl-NL"/>
        </w:rPr>
        <w:t xml:space="preserve">ông văn số </w:t>
      </w:r>
      <w:r w:rsidR="00646E1E">
        <w:rPr>
          <w:szCs w:val="28"/>
        </w:rPr>
        <w:t>11859</w:t>
      </w:r>
      <w:r w:rsidR="00646E1E" w:rsidRPr="00801A2D">
        <w:rPr>
          <w:szCs w:val="28"/>
          <w:lang w:val="nl-NL"/>
        </w:rPr>
        <w:t>/BTC-CST</w:t>
      </w:r>
      <w:r w:rsidR="00646E1E">
        <w:rPr>
          <w:szCs w:val="28"/>
          <w:lang w:val="nl-NL"/>
        </w:rPr>
        <w:t xml:space="preserve"> gửi xin ý kiến </w:t>
      </w:r>
      <w:r w:rsidR="00FC073D">
        <w:rPr>
          <w:szCs w:val="28"/>
          <w:lang w:val="nl-NL"/>
        </w:rPr>
        <w:t xml:space="preserve">Bộ, ngành, địa phương, </w:t>
      </w:r>
      <w:r w:rsidR="00646E1E" w:rsidRPr="00801A2D">
        <w:rPr>
          <w:szCs w:val="28"/>
          <w:lang w:val="nl-NL"/>
        </w:rPr>
        <w:t>tổ chức, cá nhân</w:t>
      </w:r>
      <w:r w:rsidR="00646E1E">
        <w:rPr>
          <w:szCs w:val="28"/>
          <w:lang w:val="nl-NL"/>
        </w:rPr>
        <w:t xml:space="preserve"> đối với dự án</w:t>
      </w:r>
      <w:r w:rsidR="00646E1E" w:rsidRPr="004C5543">
        <w:rPr>
          <w:szCs w:val="28"/>
          <w:lang w:val="am-ET"/>
        </w:rPr>
        <w:t xml:space="preserve"> </w:t>
      </w:r>
      <w:r w:rsidR="00646E1E" w:rsidRPr="004C5543">
        <w:rPr>
          <w:szCs w:val="28"/>
          <w:lang w:val="nl-NL"/>
        </w:rPr>
        <w:t>Nghị quyết</w:t>
      </w:r>
      <w:r w:rsidR="00646E1E">
        <w:rPr>
          <w:szCs w:val="28"/>
          <w:lang w:val="nl-NL"/>
        </w:rPr>
        <w:t xml:space="preserve"> của</w:t>
      </w:r>
      <w:r w:rsidR="00646E1E" w:rsidRPr="004C5543">
        <w:rPr>
          <w:szCs w:val="28"/>
          <w:lang w:val="nl-NL"/>
        </w:rPr>
        <w:t xml:space="preserve"> Ủy ban Thường vụ Quốc hội về </w:t>
      </w:r>
      <w:r w:rsidR="00FC073D">
        <w:rPr>
          <w:szCs w:val="28"/>
          <w:lang w:val="nl-NL"/>
        </w:rPr>
        <w:t xml:space="preserve">giảm </w:t>
      </w:r>
      <w:r w:rsidR="00646E1E" w:rsidRPr="004C5543">
        <w:rPr>
          <w:szCs w:val="28"/>
          <w:lang w:val="nl-NL"/>
        </w:rPr>
        <w:t xml:space="preserve">mức thuế BVMT đối với xăng, dầu, mỡ nhờn </w:t>
      </w:r>
      <w:r w:rsidR="00FC073D">
        <w:rPr>
          <w:szCs w:val="28"/>
          <w:lang w:val="nl-NL"/>
        </w:rPr>
        <w:t xml:space="preserve">áp dụng cho </w:t>
      </w:r>
      <w:r w:rsidR="00646E1E" w:rsidRPr="004C5543">
        <w:rPr>
          <w:szCs w:val="28"/>
          <w:lang w:val="nl-NL"/>
        </w:rPr>
        <w:t>năm 2025</w:t>
      </w:r>
      <w:r w:rsidR="00646E1E">
        <w:rPr>
          <w:szCs w:val="28"/>
          <w:lang w:val="nl-NL"/>
        </w:rPr>
        <w:t>; n</w:t>
      </w:r>
      <w:r w:rsidR="00646E1E">
        <w:rPr>
          <w:szCs w:val="28"/>
          <w:lang w:val="pt-BR"/>
        </w:rPr>
        <w:t xml:space="preserve">gày 08/11/2024, </w:t>
      </w:r>
      <w:r w:rsidR="00646E1E">
        <w:rPr>
          <w:szCs w:val="28"/>
          <w:lang w:val="nl-NL"/>
        </w:rPr>
        <w:t xml:space="preserve">Bộ Tài chính đã </w:t>
      </w:r>
      <w:r w:rsidR="00646E1E">
        <w:rPr>
          <w:szCs w:val="28"/>
          <w:lang w:val="pt-BR"/>
        </w:rPr>
        <w:t>có công văn số 12255/BTC-CST gửi xin ý kiến thẩm định của Bộ Tư pháp về dự án Nghị quyết</w:t>
      </w:r>
      <w:r w:rsidR="00D86DFF">
        <w:rPr>
          <w:bCs/>
          <w:iCs/>
          <w:lang w:val="sv-SE"/>
        </w:rPr>
        <w:t>)</w:t>
      </w:r>
      <w:r w:rsidR="00646E1E">
        <w:rPr>
          <w:bCs/>
          <w:iCs/>
          <w:lang w:val="sv-SE"/>
        </w:rPr>
        <w:t>.</w:t>
      </w:r>
    </w:p>
    <w:p w:rsidR="00AB1CFC" w:rsidRDefault="00AB1CFC" w:rsidP="007F450C">
      <w:pPr>
        <w:widowControl w:val="0"/>
        <w:ind w:firstLine="720"/>
        <w:jc w:val="both"/>
        <w:rPr>
          <w:lang w:val="it-IT"/>
        </w:rPr>
      </w:pPr>
      <w:r>
        <w:rPr>
          <w:b/>
          <w:bCs/>
          <w:lang w:val="it-IT" w:bidi="vi-VN"/>
        </w:rPr>
        <w:t>2.2. Về chính sách giảm thuế GTGT</w:t>
      </w:r>
    </w:p>
    <w:p w:rsidR="006A5261" w:rsidRPr="007863A3" w:rsidRDefault="002F1E8F" w:rsidP="007F450C">
      <w:pPr>
        <w:widowControl w:val="0"/>
        <w:ind w:firstLine="720"/>
        <w:jc w:val="both"/>
        <w:rPr>
          <w:szCs w:val="28"/>
          <w:lang w:val="it-IT"/>
        </w:rPr>
      </w:pPr>
      <w:r w:rsidRPr="00EE15ED">
        <w:rPr>
          <w:lang w:val="it-IT"/>
        </w:rPr>
        <w:t>Trong giai đoạn 202</w:t>
      </w:r>
      <w:r w:rsidR="000E1D7E">
        <w:rPr>
          <w:lang w:val="it-IT"/>
        </w:rPr>
        <w:t>2</w:t>
      </w:r>
      <w:r w:rsidRPr="00EE15ED">
        <w:rPr>
          <w:lang w:val="it-IT"/>
        </w:rPr>
        <w:t>-202</w:t>
      </w:r>
      <w:r w:rsidR="008E51D0">
        <w:rPr>
          <w:lang w:val="it-IT"/>
        </w:rPr>
        <w:t>4</w:t>
      </w:r>
      <w:r w:rsidRPr="00EE15ED">
        <w:rPr>
          <w:lang w:val="it-IT"/>
        </w:rPr>
        <w:t xml:space="preserve">, Quốc hội đã quyết nghị giảm 2% thuế suất thuế GTGT đối với </w:t>
      </w:r>
      <w:r w:rsidR="00D23B34" w:rsidRPr="00EE15ED">
        <w:t xml:space="preserve">các nhóm hàng hóa, dịch vụ đang áp dụng mức thuế suất thuế </w:t>
      </w:r>
      <w:r w:rsidR="00D23B34" w:rsidRPr="00EE15ED">
        <w:rPr>
          <w:lang w:val="en-US"/>
        </w:rPr>
        <w:t>GTGT</w:t>
      </w:r>
      <w:r w:rsidR="00D23B34" w:rsidRPr="00EE15ED">
        <w:t xml:space="preserve">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w:t>
      </w:r>
      <w:r w:rsidR="00194CAF">
        <w:rPr>
          <w:lang w:val="en-US"/>
        </w:rPr>
        <w:t>TTĐB</w:t>
      </w:r>
      <w:r w:rsidRPr="00EE15ED">
        <w:rPr>
          <w:lang w:val="it-IT"/>
        </w:rPr>
        <w:t xml:space="preserve"> tại các Nghị quyết số </w:t>
      </w:r>
      <w:r w:rsidRPr="00EE15ED">
        <w:rPr>
          <w:bCs/>
          <w:szCs w:val="28"/>
        </w:rPr>
        <w:t>43/2022/QH15</w:t>
      </w:r>
      <w:r w:rsidRPr="00EE15ED">
        <w:rPr>
          <w:bCs/>
          <w:szCs w:val="28"/>
          <w:lang w:val="en-US"/>
        </w:rPr>
        <w:t xml:space="preserve"> </w:t>
      </w:r>
      <w:r w:rsidRPr="00EE15ED">
        <w:rPr>
          <w:szCs w:val="28"/>
          <w:lang w:val="it-IT"/>
        </w:rPr>
        <w:t xml:space="preserve">ngày 11/01/2022 </w:t>
      </w:r>
      <w:r w:rsidRPr="00EE15ED">
        <w:rPr>
          <w:bCs/>
        </w:rPr>
        <w:t>về chính sách tài khóa, tiền tệ hỗ trợ Chương trình phục hồi và phát triển kinh tế - xã hội</w:t>
      </w:r>
      <w:r w:rsidR="00D23B34" w:rsidRPr="00EE15ED">
        <w:rPr>
          <w:color w:val="000000"/>
          <w:sz w:val="20"/>
          <w:szCs w:val="20"/>
          <w:lang w:val="en-US"/>
        </w:rPr>
        <w:t xml:space="preserve">; </w:t>
      </w:r>
      <w:r w:rsidRPr="00EE15ED">
        <w:t>Nghị quyết số 101/2023/QH15 ngày 24/6/2023 về Kỳ họp thứ 5, Quốc hội khóa XV</w:t>
      </w:r>
      <w:r w:rsidR="00D23B34" w:rsidRPr="00EE15ED">
        <w:rPr>
          <w:lang w:val="en-US"/>
        </w:rPr>
        <w:t xml:space="preserve">; </w:t>
      </w:r>
      <w:r w:rsidRPr="00EE15ED">
        <w:rPr>
          <w:szCs w:val="28"/>
          <w:lang w:val="it-IT"/>
        </w:rPr>
        <w:t xml:space="preserve">Nghị quyết số 110/2023/QH15 ngày </w:t>
      </w:r>
      <w:r w:rsidRPr="00EE15ED">
        <w:t>29/11/2023 về Kỳ họp thứ 6, Quốc hội khóa XV</w:t>
      </w:r>
      <w:r w:rsidR="008E51D0">
        <w:rPr>
          <w:lang w:val="en-US"/>
        </w:rPr>
        <w:t>; Nghị quyết số 142/2024/QH15 ngày 29/6/2024 về Kỳ họp thứ 7, Quốc hội khoá XV.</w:t>
      </w:r>
      <w:r w:rsidR="006A5261">
        <w:rPr>
          <w:lang w:val="en-US"/>
        </w:rPr>
        <w:t xml:space="preserve"> </w:t>
      </w:r>
      <w:r w:rsidR="006A5261" w:rsidRPr="00605155">
        <w:rPr>
          <w:bCs/>
          <w:iCs/>
          <w:szCs w:val="28"/>
          <w:lang w:val="pt-BR"/>
        </w:rPr>
        <w:t>Giải pháp giảm thuế GTGT cùng với các giải pháp hỗ trợ về thuế, phí, lệ phí khác đang tạo điều kiện rất lớn giúp doanh nghiệp</w:t>
      </w:r>
      <w:r w:rsidR="00710BE5">
        <w:rPr>
          <w:bCs/>
          <w:iCs/>
          <w:szCs w:val="28"/>
          <w:lang w:val="pt-BR"/>
        </w:rPr>
        <w:t>, người dân</w:t>
      </w:r>
      <w:r w:rsidR="006A5261" w:rsidRPr="00605155">
        <w:rPr>
          <w:bCs/>
          <w:iCs/>
          <w:szCs w:val="28"/>
          <w:lang w:val="pt-BR"/>
        </w:rPr>
        <w:t xml:space="preserve"> giảm được chi phí sản xuất, tăng lợi nhuận, tăng khả năng kích cầu.</w:t>
      </w:r>
    </w:p>
    <w:p w:rsidR="00AE2339" w:rsidRPr="008E51D0" w:rsidRDefault="00AE2339" w:rsidP="007F450C">
      <w:pPr>
        <w:ind w:firstLine="720"/>
        <w:jc w:val="both"/>
        <w:rPr>
          <w:bCs/>
          <w:iCs/>
          <w:szCs w:val="28"/>
          <w:lang w:val="sv-SE"/>
        </w:rPr>
      </w:pPr>
      <w:r w:rsidRPr="008E51D0">
        <w:rPr>
          <w:bCs/>
          <w:iCs/>
          <w:szCs w:val="28"/>
          <w:lang w:val="sv-SE"/>
        </w:rPr>
        <w:t xml:space="preserve">Năm 2022, việc thực hiện chính sách giảm thuế GTGT theo Nghị quyết số 43/2022/QH15 đã </w:t>
      </w:r>
      <w:r w:rsidRPr="008E51D0">
        <w:rPr>
          <w:bCs/>
          <w:iCs/>
          <w:szCs w:val="28"/>
          <w:lang w:val="pt-BR"/>
        </w:rPr>
        <w:t xml:space="preserve">hỗ trợ cho doanh nghiệp và người dân tổng cộng khoảng </w:t>
      </w:r>
      <w:r w:rsidRPr="008E51D0">
        <w:rPr>
          <w:bCs/>
          <w:iCs/>
          <w:szCs w:val="28"/>
          <w:lang w:val="sv-SE"/>
        </w:rPr>
        <w:lastRenderedPageBreak/>
        <w:t>51,4</w:t>
      </w:r>
      <w:r w:rsidRPr="008E51D0">
        <w:rPr>
          <w:b/>
          <w:bCs/>
          <w:iCs/>
          <w:szCs w:val="28"/>
          <w:lang w:val="sv-SE"/>
        </w:rPr>
        <w:t xml:space="preserve"> </w:t>
      </w:r>
      <w:r w:rsidRPr="008E51D0">
        <w:rPr>
          <w:bCs/>
          <w:iCs/>
          <w:szCs w:val="28"/>
          <w:lang w:val="pt-BR"/>
        </w:rPr>
        <w:t xml:space="preserve">nghìn tỷ đồng, đã </w:t>
      </w:r>
      <w:r w:rsidRPr="008E51D0">
        <w:rPr>
          <w:bCs/>
          <w:iCs/>
          <w:szCs w:val="28"/>
          <w:lang w:val="sv-SE"/>
        </w:rPr>
        <w:t xml:space="preserve">góp phần kích cầu tiêu dùng nội địa tăng cao, tổng mức bán lẻ hàng hóa và doanh thu dịch vụ tiêu dùng năm 2022 tăng 19,8% so với năm 2021. </w:t>
      </w:r>
    </w:p>
    <w:p w:rsidR="00AE2339" w:rsidRPr="006F3D5E" w:rsidRDefault="00AE2339" w:rsidP="007F450C">
      <w:pPr>
        <w:ind w:firstLine="720"/>
        <w:jc w:val="both"/>
        <w:rPr>
          <w:bCs/>
          <w:iCs/>
          <w:szCs w:val="28"/>
          <w:lang w:val="en-US"/>
        </w:rPr>
      </w:pPr>
      <w:r w:rsidRPr="006F3D5E">
        <w:rPr>
          <w:bCs/>
          <w:iCs/>
          <w:szCs w:val="28"/>
          <w:lang w:val="it-IT"/>
        </w:rPr>
        <w:t>Năm</w:t>
      </w:r>
      <w:r w:rsidR="005B6DEF">
        <w:rPr>
          <w:bCs/>
          <w:iCs/>
          <w:szCs w:val="28"/>
          <w:lang w:val="it-IT"/>
        </w:rPr>
        <w:t xml:space="preserve"> </w:t>
      </w:r>
      <w:r w:rsidRPr="006F3D5E">
        <w:rPr>
          <w:bCs/>
          <w:iCs/>
          <w:szCs w:val="28"/>
          <w:lang w:val="it-IT"/>
        </w:rPr>
        <w:t>2023, v</w:t>
      </w:r>
      <w:r w:rsidRPr="006F3D5E">
        <w:rPr>
          <w:bCs/>
          <w:iCs/>
          <w:szCs w:val="28"/>
          <w:lang w:val="nl-NL"/>
        </w:rPr>
        <w:t>iệc giảm thuế GTGT 2% theo Nghị quyết số</w:t>
      </w:r>
      <w:r w:rsidR="00F44289">
        <w:rPr>
          <w:bCs/>
          <w:iCs/>
          <w:szCs w:val="28"/>
          <w:lang w:val="nl-NL"/>
        </w:rPr>
        <w:t xml:space="preserve"> 101/2023/QH15 </w:t>
      </w:r>
      <w:r w:rsidRPr="006F3D5E">
        <w:rPr>
          <w:bCs/>
          <w:iCs/>
          <w:szCs w:val="28"/>
          <w:lang w:val="nl-NL"/>
        </w:rPr>
        <w:t xml:space="preserve">trong 6 tháng cuối năm 2023 </w:t>
      </w:r>
      <w:r w:rsidRPr="006F3D5E">
        <w:rPr>
          <w:bCs/>
          <w:iCs/>
          <w:szCs w:val="28"/>
          <w:lang w:val="pt-BR"/>
        </w:rPr>
        <w:t>đã hỗ trợ cho doanh nghiệp và người dân tổng cộng khoảng 23,4 nghìn</w:t>
      </w:r>
      <w:r w:rsidRPr="006F3D5E">
        <w:rPr>
          <w:bCs/>
          <w:iCs/>
          <w:szCs w:val="28"/>
          <w:lang w:val="nl-NL"/>
        </w:rPr>
        <w:t xml:space="preserve"> tỷ đồng</w:t>
      </w:r>
      <w:r w:rsidRPr="006F3D5E">
        <w:rPr>
          <w:bCs/>
          <w:iCs/>
          <w:szCs w:val="28"/>
          <w:lang w:val="it-IT"/>
        </w:rPr>
        <w:t>.</w:t>
      </w:r>
      <w:r w:rsidRPr="006F3D5E">
        <w:rPr>
          <w:b/>
          <w:bCs/>
          <w:iCs/>
          <w:szCs w:val="28"/>
          <w:lang w:val="nl-NL"/>
        </w:rPr>
        <w:t xml:space="preserve"> </w:t>
      </w:r>
      <w:r w:rsidRPr="006F3D5E">
        <w:rPr>
          <w:bCs/>
          <w:iCs/>
          <w:szCs w:val="28"/>
          <w:lang w:val="en-US"/>
        </w:rPr>
        <w:t>T</w:t>
      </w:r>
      <w:r w:rsidRPr="006F3D5E">
        <w:rPr>
          <w:bCs/>
          <w:iCs/>
          <w:szCs w:val="28"/>
        </w:rPr>
        <w:t xml:space="preserve">ính chung năm 2023, tổng mức bán lẻ hàng hóa và doanh thu dịch vụ tiêu dùng tăng 9,6% so với năm </w:t>
      </w:r>
      <w:r w:rsidRPr="006F3D5E">
        <w:rPr>
          <w:bCs/>
          <w:iCs/>
          <w:szCs w:val="28"/>
          <w:lang w:val="en-US"/>
        </w:rPr>
        <w:t>2022</w:t>
      </w:r>
      <w:r w:rsidRPr="006F3D5E">
        <w:rPr>
          <w:bCs/>
          <w:iCs/>
          <w:szCs w:val="28"/>
          <w:lang w:val="de-DE"/>
        </w:rPr>
        <w:t>.</w:t>
      </w:r>
      <w:r w:rsidRPr="006F3D5E">
        <w:rPr>
          <w:bCs/>
          <w:iCs/>
          <w:szCs w:val="28"/>
        </w:rPr>
        <w:t> </w:t>
      </w:r>
    </w:p>
    <w:p w:rsidR="008E51D0" w:rsidRPr="006F3D5E" w:rsidRDefault="00B7604A" w:rsidP="007F450C">
      <w:pPr>
        <w:ind w:firstLine="720"/>
        <w:jc w:val="both"/>
        <w:rPr>
          <w:szCs w:val="28"/>
          <w:lang w:val="en-US"/>
        </w:rPr>
      </w:pPr>
      <w:r w:rsidRPr="00B7604A">
        <w:rPr>
          <w:szCs w:val="28"/>
          <w:lang w:val="en-US"/>
        </w:rPr>
        <w:t>N</w:t>
      </w:r>
      <w:r w:rsidRPr="00B7604A">
        <w:rPr>
          <w:szCs w:val="28"/>
        </w:rPr>
        <w:t xml:space="preserve">ăm 2024, </w:t>
      </w:r>
      <w:r w:rsidRPr="00B7604A">
        <w:rPr>
          <w:bCs/>
          <w:iCs/>
          <w:szCs w:val="28"/>
          <w:lang w:val="it-IT"/>
        </w:rPr>
        <w:t>v</w:t>
      </w:r>
      <w:r w:rsidRPr="00B7604A">
        <w:rPr>
          <w:bCs/>
          <w:iCs/>
          <w:szCs w:val="28"/>
          <w:lang w:val="nl-NL"/>
        </w:rPr>
        <w:t xml:space="preserve">iệc giảm thuế GTGT 2% theo Nghị quyết số 110/2023/QH15 và Nghị quyết số 142/2024/QH15 trong 10 tháng đầu năm </w:t>
      </w:r>
      <w:r w:rsidRPr="00B7604A">
        <w:rPr>
          <w:bCs/>
          <w:iCs/>
          <w:szCs w:val="28"/>
          <w:lang w:val="pt-BR"/>
        </w:rPr>
        <w:t xml:space="preserve">đã hỗ trợ cho doanh nghiệp và người dân khoảng 40,8 nghìn tỷ đồng, ước số hỗ </w:t>
      </w:r>
      <w:r w:rsidRPr="00B7604A">
        <w:rPr>
          <w:bCs/>
          <w:iCs/>
          <w:szCs w:val="28"/>
          <w:lang w:val="nl-NL"/>
        </w:rPr>
        <w:t>trợ trong cả</w:t>
      </w:r>
      <w:r w:rsidRPr="00B7604A">
        <w:rPr>
          <w:bCs/>
          <w:iCs/>
          <w:szCs w:val="28"/>
          <w:lang w:val="pt-BR"/>
        </w:rPr>
        <w:t xml:space="preserve"> năm 2024 </w:t>
      </w:r>
      <w:r w:rsidRPr="00B7604A">
        <w:rPr>
          <w:szCs w:val="28"/>
        </w:rPr>
        <w:t xml:space="preserve">khoảng </w:t>
      </w:r>
      <w:r w:rsidRPr="00B7604A">
        <w:rPr>
          <w:bCs/>
          <w:iCs/>
          <w:szCs w:val="28"/>
          <w:lang w:val="en-US"/>
        </w:rPr>
        <w:t>49</w:t>
      </w:r>
      <w:r w:rsidRPr="00B7604A">
        <w:rPr>
          <w:bCs/>
          <w:iCs/>
          <w:szCs w:val="28"/>
        </w:rPr>
        <w:t xml:space="preserve"> nghìn tỷ đồng</w:t>
      </w:r>
      <w:r w:rsidRPr="00B7604A">
        <w:rPr>
          <w:szCs w:val="28"/>
        </w:rPr>
        <w:t xml:space="preserve">. </w:t>
      </w:r>
      <w:r w:rsidR="008E51D0" w:rsidRPr="006F3D5E">
        <w:rPr>
          <w:szCs w:val="28"/>
        </w:rPr>
        <w:t xml:space="preserve"> </w:t>
      </w:r>
    </w:p>
    <w:p w:rsidR="00EB03A9" w:rsidRPr="006F3D5E" w:rsidRDefault="00B2425D" w:rsidP="007F450C">
      <w:pPr>
        <w:ind w:firstLine="720"/>
        <w:jc w:val="both"/>
        <w:rPr>
          <w:bCs/>
          <w:iCs/>
          <w:szCs w:val="28"/>
          <w:lang w:val="en-US"/>
        </w:rPr>
      </w:pPr>
      <w:r w:rsidRPr="006F3D5E">
        <w:rPr>
          <w:bCs/>
          <w:iCs/>
          <w:szCs w:val="28"/>
          <w:lang w:val="en-US"/>
        </w:rPr>
        <w:t xml:space="preserve">Theo thông tin về diễn biến kinh tế - xã hội thời gian qua tại </w:t>
      </w:r>
      <w:r w:rsidR="00EB03A9" w:rsidRPr="006F3D5E">
        <w:rPr>
          <w:szCs w:val="28"/>
          <w:lang w:val="pt-BR"/>
        </w:rPr>
        <w:t xml:space="preserve">Báo cáo tình hình thực hiện Kế hoạch phát triển kinh tế - xã hội năm 2024, dự kiến Kế hoạch phát triển kinh tế - xã hội năm 2025 </w:t>
      </w:r>
      <w:r w:rsidR="00710BE5">
        <w:rPr>
          <w:szCs w:val="28"/>
          <w:lang w:val="pt-BR"/>
        </w:rPr>
        <w:t>cũng như</w:t>
      </w:r>
      <w:r w:rsidR="00EB03A9" w:rsidRPr="006F3D5E">
        <w:rPr>
          <w:szCs w:val="28"/>
          <w:lang w:val="pt-BR"/>
        </w:rPr>
        <w:t xml:space="preserve"> </w:t>
      </w:r>
      <w:r w:rsidRPr="006F3D5E">
        <w:rPr>
          <w:bCs/>
          <w:iCs/>
          <w:szCs w:val="28"/>
          <w:lang w:val="en-US"/>
        </w:rPr>
        <w:t xml:space="preserve">Báo cáo thống kê tình hình kinh tế - xã hội 10 tháng đầu năm 2024 </w:t>
      </w:r>
      <w:r w:rsidR="00EB03A9" w:rsidRPr="006F3D5E">
        <w:rPr>
          <w:bCs/>
          <w:iCs/>
          <w:szCs w:val="28"/>
          <w:lang w:val="en-US"/>
        </w:rPr>
        <w:t xml:space="preserve">cho thấy nhiều điểm tích cực: </w:t>
      </w:r>
    </w:p>
    <w:p w:rsidR="00EB03A9" w:rsidRPr="006F3D5E" w:rsidRDefault="00EB03A9" w:rsidP="007F450C">
      <w:pPr>
        <w:ind w:firstLine="720"/>
        <w:jc w:val="both"/>
        <w:rPr>
          <w:szCs w:val="28"/>
          <w:lang w:val="pt-BR"/>
        </w:rPr>
      </w:pPr>
      <w:r w:rsidRPr="006F3D5E">
        <w:rPr>
          <w:szCs w:val="28"/>
          <w:lang w:val="pt-BR"/>
        </w:rPr>
        <w:t>T</w:t>
      </w:r>
      <w:r w:rsidR="00575A90" w:rsidRPr="006F3D5E">
        <w:rPr>
          <w:szCs w:val="28"/>
          <w:lang w:val="pt-BR"/>
        </w:rPr>
        <w:t>ình hình kinh tế -</w:t>
      </w:r>
      <w:r w:rsidR="004B32E3" w:rsidRPr="006F3D5E">
        <w:rPr>
          <w:szCs w:val="28"/>
          <w:lang w:val="pt-BR"/>
        </w:rPr>
        <w:t xml:space="preserve"> </w:t>
      </w:r>
      <w:r w:rsidR="00575A90" w:rsidRPr="006F3D5E">
        <w:rPr>
          <w:szCs w:val="28"/>
          <w:lang w:val="pt-BR"/>
        </w:rPr>
        <w:t>xã hội tháng sau tích cực hơn tháng trước, quý sau cao hơn quý trước</w:t>
      </w:r>
      <w:r w:rsidR="00575A90" w:rsidRPr="006F3D5E">
        <w:rPr>
          <w:szCs w:val="28"/>
          <w:vertAlign w:val="superscript"/>
          <w:lang w:val="pt-BR"/>
        </w:rPr>
        <w:footnoteReference w:id="1"/>
      </w:r>
      <w:r w:rsidR="00575A90" w:rsidRPr="006F3D5E">
        <w:rPr>
          <w:szCs w:val="28"/>
          <w:lang w:val="pt-BR"/>
        </w:rPr>
        <w:t xml:space="preserve">, </w:t>
      </w:r>
      <w:r w:rsidRPr="006F3D5E">
        <w:rPr>
          <w:szCs w:val="28"/>
          <w:lang w:val="pt-BR"/>
        </w:rPr>
        <w:t xml:space="preserve">9 tháng đạt nhiều kết quả quan trọng, cao hơn cùng kỳ trên hầu hết các lĩnh vực. Ước cả năm có 14/15 chỉ tiêu đạt và vượt kế hoạch (chỉ tiêu GDP bình quân đầu người sẽ đạt nếu GDP tăng trưởng trên 7%). </w:t>
      </w:r>
    </w:p>
    <w:p w:rsidR="00EB03A9" w:rsidRPr="006F3D5E" w:rsidRDefault="00EB03A9" w:rsidP="007F450C">
      <w:pPr>
        <w:ind w:firstLine="720"/>
        <w:jc w:val="both"/>
        <w:rPr>
          <w:szCs w:val="28"/>
          <w:lang w:val="pt-BR"/>
        </w:rPr>
      </w:pPr>
      <w:r w:rsidRPr="006F3D5E">
        <w:rPr>
          <w:szCs w:val="28"/>
          <w:lang w:val="pt-BR"/>
        </w:rPr>
        <w:t>Tăng trưởng GDP 9 tháng đạt 6,82%; ước cả năm đạt 6,8 - 7%, cao hơn mục tiêu Quốc hội giao (6 - 6,5%), thuộc nhóm nước có tốc độ tăng trưởng cao trong khu vực và thế giới, được nhiều tổ chức quốc tế lớn, có uy tín đánh giá cao.</w:t>
      </w:r>
    </w:p>
    <w:p w:rsidR="008554C0" w:rsidRPr="006F3D5E" w:rsidRDefault="008554C0" w:rsidP="007F450C">
      <w:pPr>
        <w:ind w:firstLine="720"/>
        <w:jc w:val="both"/>
        <w:rPr>
          <w:bCs/>
          <w:iCs/>
          <w:szCs w:val="28"/>
          <w:lang w:val="en-US"/>
        </w:rPr>
      </w:pPr>
      <w:r w:rsidRPr="006F3D5E">
        <w:rPr>
          <w:bCs/>
          <w:iCs/>
          <w:szCs w:val="28"/>
          <w:lang w:val="it-IT"/>
        </w:rPr>
        <w:t xml:space="preserve">Tính chung 10 tháng năm 2024: Tổng mức bán lẻ hàng hóa và doanh thu dịch vụ tiêu dùng ước đạt 5.246,2 nghìn tỷ đồng, tăng 8,5% </w:t>
      </w:r>
      <w:r w:rsidRPr="006F3D5E">
        <w:rPr>
          <w:bCs/>
          <w:iCs/>
          <w:szCs w:val="28"/>
          <w:lang w:val="en-US"/>
        </w:rPr>
        <w:t>so với cùng kỳ năm trước</w:t>
      </w:r>
      <w:r w:rsidRPr="006F3D5E">
        <w:rPr>
          <w:bCs/>
          <w:iCs/>
          <w:szCs w:val="28"/>
          <w:lang w:val="it-IT"/>
        </w:rPr>
        <w:t xml:space="preserve">; </w:t>
      </w:r>
      <w:r w:rsidRPr="006F3D5E">
        <w:rPr>
          <w:bCs/>
          <w:iCs/>
          <w:szCs w:val="28"/>
          <w:lang w:val="en-US"/>
        </w:rPr>
        <w:t xml:space="preserve">Chỉ số giá tiêu dùng (CPI) tăng 3,78% so với cùng kỳ năm trước; lạm phát cơ bản tăng 2,69%. </w:t>
      </w:r>
      <w:r w:rsidRPr="006F3D5E">
        <w:rPr>
          <w:bCs/>
          <w:iCs/>
          <w:szCs w:val="28"/>
          <w:lang w:val="es-NI"/>
        </w:rPr>
        <w:t>Tổng kim ngạch xuất, nhập khẩu hàng hóa sơ bộ đạt 647,87 tỷ USD, tăng 15,8% so với cùng kỳ năm trước, trong đó xuất khẩu tăng 14,9%; nhập khẩu tăng 16,8%</w:t>
      </w:r>
      <w:r w:rsidRPr="006F3D5E">
        <w:rPr>
          <w:bCs/>
          <w:iCs/>
          <w:szCs w:val="28"/>
          <w:vertAlign w:val="superscript"/>
          <w:lang w:val="es-NI"/>
        </w:rPr>
        <w:footnoteReference w:id="2"/>
      </w:r>
      <w:r w:rsidRPr="006F3D5E">
        <w:rPr>
          <w:bCs/>
          <w:iCs/>
          <w:szCs w:val="28"/>
          <w:lang w:val="es-NI"/>
        </w:rPr>
        <w:t xml:space="preserve">. </w:t>
      </w:r>
      <w:r w:rsidRPr="006F3D5E">
        <w:rPr>
          <w:bCs/>
          <w:iCs/>
          <w:szCs w:val="28"/>
          <w:lang w:val="en-US"/>
        </w:rPr>
        <w:t>Cán cân thương mại hàng hóa xuất siêu 23,31 tỷ USD.</w:t>
      </w:r>
      <w:r w:rsidRPr="006F3D5E">
        <w:rPr>
          <w:bCs/>
          <w:iCs/>
          <w:szCs w:val="28"/>
          <w:lang w:val="sv-SE"/>
        </w:rPr>
        <w:t xml:space="preserve"> </w:t>
      </w:r>
      <w:r w:rsidR="006A5261" w:rsidRPr="000C5111">
        <w:rPr>
          <w:bCs/>
          <w:iCs/>
          <w:szCs w:val="28"/>
          <w:lang w:val="en-US"/>
        </w:rPr>
        <w:t>T</w:t>
      </w:r>
      <w:r w:rsidR="006A5261" w:rsidRPr="000C5111">
        <w:rPr>
          <w:bCs/>
          <w:iCs/>
          <w:szCs w:val="28"/>
        </w:rPr>
        <w:t xml:space="preserve">ổng thu NSNN </w:t>
      </w:r>
      <w:r w:rsidRPr="006F3D5E">
        <w:rPr>
          <w:bCs/>
          <w:iCs/>
          <w:szCs w:val="28"/>
        </w:rPr>
        <w:t>đạt 1.654,2 nghìn tỷ đồng, bằng 97,2% dự toán năm và tăng 17,3% so với cùng kỳ năm trước.</w:t>
      </w:r>
    </w:p>
    <w:p w:rsidR="00D23B34" w:rsidRPr="006F3D5E" w:rsidRDefault="008E51D0" w:rsidP="007F450C">
      <w:pPr>
        <w:ind w:firstLine="720"/>
        <w:jc w:val="both"/>
        <w:rPr>
          <w:bCs/>
          <w:iCs/>
          <w:szCs w:val="28"/>
          <w:lang w:val="nl-NL"/>
        </w:rPr>
      </w:pPr>
      <w:r w:rsidRPr="006F3D5E">
        <w:rPr>
          <w:bCs/>
          <w:iCs/>
          <w:szCs w:val="28"/>
          <w:lang w:val="en-US"/>
        </w:rPr>
        <w:t xml:space="preserve">Từ kết quả đạt được nêu trên, có thể đánh giá rằng, chính sách giảm thuế GTGT 2% đã góp phần giúp giảm giá thành thông qua doanh nghiệp có hoạt động sản xuất kinh doanh hàng hóa, dịch vụ được giảm thuế GTGT dẫn đến giảm giá bán của hàng hóa, dịch vụ cho người tiêu dùng, từ đó thúc đẩy sản xuất kinh doanh của doanh nghiệp, tiêu dùng của người dân, góp phần tạo </w:t>
      </w:r>
      <w:r w:rsidRPr="006F3D5E">
        <w:rPr>
          <w:bCs/>
          <w:iCs/>
          <w:szCs w:val="28"/>
          <w:lang w:val="en-US"/>
        </w:rPr>
        <w:lastRenderedPageBreak/>
        <w:t>thêm công ăn việc làm cho người lao động và đạt được mục tiêu đề ra khi xây dựng chính sách giảm thuế GTGT là kích cầu tiêu dùng, thúc đẩy sản xuất kinh doanh phát triển.</w:t>
      </w:r>
      <w:r w:rsidR="00D23B34" w:rsidRPr="006F3D5E">
        <w:rPr>
          <w:bCs/>
          <w:iCs/>
          <w:szCs w:val="28"/>
          <w:lang w:val="nl-NL"/>
        </w:rPr>
        <w:t xml:space="preserve"> </w:t>
      </w:r>
    </w:p>
    <w:p w:rsidR="002F053F" w:rsidRPr="006F3D5E" w:rsidRDefault="00EB03A9" w:rsidP="007F450C">
      <w:pPr>
        <w:ind w:firstLine="720"/>
        <w:jc w:val="both"/>
        <w:rPr>
          <w:szCs w:val="28"/>
          <w:lang w:val="pt-BR"/>
        </w:rPr>
      </w:pPr>
      <w:r w:rsidRPr="006F3D5E">
        <w:rPr>
          <w:szCs w:val="28"/>
          <w:lang w:val="pt-BR"/>
        </w:rPr>
        <w:t>Bên cạnh những kết quả đạt được là cơ bản, nước ta còn những hạn chế, bất cập và tiếp tục gặp nhiều khó khăn, thách thức. Ổn định kinh tế vĩ mô còn tiềm ẩn rủi ro. Hoạt động sản xuấ</w:t>
      </w:r>
      <w:r w:rsidR="00710BE5">
        <w:rPr>
          <w:szCs w:val="28"/>
          <w:lang w:val="pt-BR"/>
        </w:rPr>
        <w:t>t</w:t>
      </w:r>
      <w:r w:rsidRPr="006F3D5E">
        <w:rPr>
          <w:szCs w:val="28"/>
          <w:lang w:val="pt-BR"/>
        </w:rPr>
        <w:t xml:space="preserve"> kinh doanh còn gặp khó khăn; chi phí sản xuất còn cao; sức mua trong nước có dấu hiệu tăng chậm lại. </w:t>
      </w:r>
      <w:r w:rsidR="002F053F" w:rsidRPr="006F3D5E">
        <w:rPr>
          <w:szCs w:val="28"/>
          <w:lang w:val="pt-BR"/>
        </w:rPr>
        <w:t>Tổng cầu tiêu dùng trong nước được xem là một động lực quan trọng để thúc đẩy tăng trưởng kinh tế.</w:t>
      </w:r>
    </w:p>
    <w:p w:rsidR="003055FD" w:rsidRPr="006F3D5E" w:rsidRDefault="00710BE5" w:rsidP="007F450C">
      <w:pPr>
        <w:ind w:firstLine="720"/>
        <w:jc w:val="both"/>
        <w:rPr>
          <w:szCs w:val="28"/>
          <w:lang w:val="pt-BR"/>
        </w:rPr>
      </w:pPr>
      <w:r>
        <w:rPr>
          <w:szCs w:val="28"/>
          <w:lang w:val="pt-BR"/>
        </w:rPr>
        <w:t>Đ</w:t>
      </w:r>
      <w:r w:rsidR="00B44EA6" w:rsidRPr="006F3D5E">
        <w:rPr>
          <w:szCs w:val="28"/>
          <w:lang w:val="pt-BR"/>
        </w:rPr>
        <w:t xml:space="preserve">ể </w:t>
      </w:r>
      <w:r w:rsidR="00705EAC" w:rsidRPr="006F3D5E">
        <w:rPr>
          <w:szCs w:val="28"/>
          <w:lang w:val="pt-BR"/>
        </w:rPr>
        <w:t>góp phần</w:t>
      </w:r>
      <w:r w:rsidR="008C156C" w:rsidRPr="006F3D5E">
        <w:rPr>
          <w:szCs w:val="28"/>
          <w:lang w:val="pt-BR"/>
        </w:rPr>
        <w:t xml:space="preserve"> tạo động lực thúc đẩy, phát triển cho nền kinh tế</w:t>
      </w:r>
      <w:r w:rsidR="005E6F57" w:rsidRPr="006F3D5E">
        <w:rPr>
          <w:szCs w:val="28"/>
          <w:lang w:val="pt-BR"/>
        </w:rPr>
        <w:t xml:space="preserve">, </w:t>
      </w:r>
      <w:r w:rsidR="008C156C" w:rsidRPr="006F3D5E">
        <w:rPr>
          <w:szCs w:val="28"/>
          <w:lang w:val="pt-BR"/>
        </w:rPr>
        <w:t xml:space="preserve">cần </w:t>
      </w:r>
      <w:r w:rsidR="005E6F57" w:rsidRPr="006F3D5E">
        <w:rPr>
          <w:szCs w:val="28"/>
          <w:lang w:val="pt-BR"/>
        </w:rPr>
        <w:t xml:space="preserve">tiếp tục </w:t>
      </w:r>
      <w:r w:rsidR="008F7584" w:rsidRPr="006F3D5E">
        <w:rPr>
          <w:szCs w:val="28"/>
          <w:lang w:val="pt-BR"/>
        </w:rPr>
        <w:t>thực hiện</w:t>
      </w:r>
      <w:r w:rsidR="008C156C" w:rsidRPr="006F3D5E">
        <w:rPr>
          <w:szCs w:val="28"/>
          <w:lang w:val="pt-BR"/>
        </w:rPr>
        <w:t xml:space="preserve"> chính sách giảm thuế GTGT</w:t>
      </w:r>
      <w:r w:rsidR="003055FD" w:rsidRPr="006F3D5E">
        <w:rPr>
          <w:szCs w:val="28"/>
          <w:lang w:val="pt-BR"/>
        </w:rPr>
        <w:t>.</w:t>
      </w:r>
    </w:p>
    <w:p w:rsidR="00603244" w:rsidRPr="006F3D5E" w:rsidRDefault="008C156C" w:rsidP="007F450C">
      <w:pPr>
        <w:ind w:firstLine="720"/>
        <w:jc w:val="both"/>
        <w:rPr>
          <w:b/>
          <w:szCs w:val="28"/>
          <w:lang w:val="nl-NL"/>
        </w:rPr>
      </w:pPr>
      <w:r w:rsidRPr="006F3D5E">
        <w:rPr>
          <w:bCs/>
          <w:iCs/>
          <w:szCs w:val="28"/>
          <w:lang w:val="nl-NL"/>
        </w:rPr>
        <w:t xml:space="preserve"> </w:t>
      </w:r>
      <w:r w:rsidR="00603244" w:rsidRPr="006F3D5E">
        <w:rPr>
          <w:b/>
          <w:szCs w:val="28"/>
          <w:lang w:val="nl-NL"/>
        </w:rPr>
        <w:t xml:space="preserve">II. MỤC </w:t>
      </w:r>
      <w:r w:rsidR="00C43D30" w:rsidRPr="006F3D5E">
        <w:rPr>
          <w:b/>
          <w:szCs w:val="28"/>
          <w:lang w:val="nl-NL"/>
        </w:rPr>
        <w:t>ĐÍCH BAN HÀNH</w:t>
      </w:r>
      <w:r w:rsidR="00603244" w:rsidRPr="006F3D5E">
        <w:rPr>
          <w:b/>
          <w:szCs w:val="28"/>
          <w:lang w:val="nl-NL"/>
        </w:rPr>
        <w:t xml:space="preserve">, QUAN ĐIỂM XÂY DỰNG </w:t>
      </w:r>
      <w:r w:rsidR="00C43D30" w:rsidRPr="006F3D5E">
        <w:rPr>
          <w:b/>
          <w:szCs w:val="28"/>
          <w:lang w:val="nl-NL"/>
        </w:rPr>
        <w:t>NGHỊ QUYẾT</w:t>
      </w:r>
    </w:p>
    <w:p w:rsidR="00E32E11" w:rsidRPr="006F3D5E" w:rsidRDefault="00E32E11" w:rsidP="007F450C">
      <w:pPr>
        <w:widowControl w:val="0"/>
        <w:ind w:firstLine="720"/>
        <w:jc w:val="both"/>
        <w:rPr>
          <w:b/>
          <w:szCs w:val="28"/>
          <w:lang w:val="nl-NL"/>
        </w:rPr>
      </w:pPr>
      <w:r w:rsidRPr="006F3D5E">
        <w:rPr>
          <w:b/>
          <w:szCs w:val="28"/>
          <w:lang w:val="nl-NL"/>
        </w:rPr>
        <w:t xml:space="preserve">1. </w:t>
      </w:r>
      <w:r w:rsidR="00C43D30" w:rsidRPr="006F3D5E">
        <w:rPr>
          <w:b/>
          <w:szCs w:val="28"/>
          <w:lang w:val="nl-NL"/>
        </w:rPr>
        <w:t xml:space="preserve">Mục đích ban hành </w:t>
      </w:r>
      <w:r w:rsidR="0091453D" w:rsidRPr="006F3D5E">
        <w:rPr>
          <w:b/>
          <w:szCs w:val="28"/>
          <w:lang w:val="nl-NL"/>
        </w:rPr>
        <w:t>Nghị quyết</w:t>
      </w:r>
    </w:p>
    <w:p w:rsidR="00E32E11" w:rsidRPr="006F3D5E" w:rsidRDefault="00E32E11" w:rsidP="007F450C">
      <w:pPr>
        <w:pStyle w:val="BodyTextIndent"/>
        <w:spacing w:before="120" w:after="120"/>
        <w:ind w:firstLine="720"/>
        <w:rPr>
          <w:rFonts w:ascii="Times New Roman" w:hAnsi="Times New Roman"/>
          <w:b/>
          <w:color w:val="auto"/>
          <w:sz w:val="28"/>
          <w:szCs w:val="28"/>
          <w:lang w:val="nl-NL"/>
        </w:rPr>
      </w:pPr>
      <w:r w:rsidRPr="006F3D5E">
        <w:rPr>
          <w:rFonts w:ascii="Times New Roman" w:hAnsi="Times New Roman"/>
          <w:color w:val="auto"/>
          <w:sz w:val="28"/>
          <w:szCs w:val="28"/>
          <w:lang w:val="nl-NL"/>
        </w:rPr>
        <w:t>K</w:t>
      </w:r>
      <w:r w:rsidRPr="006F3D5E">
        <w:rPr>
          <w:rFonts w:ascii="Times New Roman" w:hAnsi="Times New Roman"/>
          <w:bCs/>
          <w:iCs/>
          <w:color w:val="auto"/>
          <w:sz w:val="28"/>
          <w:szCs w:val="28"/>
          <w:lang w:val="pt-BR"/>
        </w:rPr>
        <w:t xml:space="preserve">ích cầu tiêu dùng, phù hợp với bối cảnh kinh tế hiện nay, qua đó thúc đẩy hoạt động sản xuất kinh doanh sớm phục hồi và phát triển để đóng góp trở lại cho </w:t>
      </w:r>
      <w:r w:rsidR="00006086">
        <w:rPr>
          <w:rFonts w:ascii="Times New Roman" w:hAnsi="Times New Roman"/>
          <w:bCs/>
          <w:iCs/>
          <w:color w:val="auto"/>
          <w:sz w:val="28"/>
          <w:szCs w:val="28"/>
          <w:lang w:val="pt-BR"/>
        </w:rPr>
        <w:t>NSNN</w:t>
      </w:r>
      <w:r w:rsidRPr="006F3D5E">
        <w:rPr>
          <w:rFonts w:ascii="Times New Roman" w:hAnsi="Times New Roman"/>
          <w:bCs/>
          <w:iCs/>
          <w:color w:val="auto"/>
          <w:sz w:val="28"/>
          <w:szCs w:val="28"/>
          <w:lang w:val="pt-BR"/>
        </w:rPr>
        <w:t xml:space="preserve"> cũng như nền kinh tế để thực hiện </w:t>
      </w:r>
      <w:r w:rsidRPr="006F3D5E">
        <w:rPr>
          <w:rFonts w:ascii="Times New Roman" w:hAnsi="Times New Roman"/>
          <w:color w:val="auto"/>
          <w:sz w:val="28"/>
          <w:szCs w:val="28"/>
          <w:lang w:val="nl-NL"/>
        </w:rPr>
        <w:t>Kế hoạch phát triển kinh tế - xã hội 5 năm 2021 - 2025, Kế hoạch phát triển kinh tế - xã hội hàng năm, Kế hoạch cơ cấu lại nền kinh tế giai đoạn 2021 - 2025</w:t>
      </w:r>
      <w:r w:rsidRPr="006F3D5E">
        <w:rPr>
          <w:rFonts w:ascii="Times New Roman" w:hAnsi="Times New Roman"/>
          <w:color w:val="auto"/>
          <w:sz w:val="28"/>
          <w:szCs w:val="28"/>
          <w:lang w:val="pt-BR"/>
        </w:rPr>
        <w:t>.</w:t>
      </w:r>
    </w:p>
    <w:p w:rsidR="0091453D" w:rsidRPr="006F3D5E" w:rsidRDefault="00E32E11" w:rsidP="007F450C">
      <w:pPr>
        <w:widowControl w:val="0"/>
        <w:ind w:firstLine="720"/>
        <w:jc w:val="both"/>
        <w:rPr>
          <w:b/>
          <w:szCs w:val="28"/>
          <w:lang w:val="nl-NL"/>
        </w:rPr>
      </w:pPr>
      <w:r w:rsidRPr="006F3D5E">
        <w:rPr>
          <w:b/>
          <w:szCs w:val="28"/>
          <w:lang w:val="nl-NL"/>
        </w:rPr>
        <w:t xml:space="preserve">2. Quan điểm xây dựng </w:t>
      </w:r>
      <w:r w:rsidR="0091453D" w:rsidRPr="006F3D5E">
        <w:rPr>
          <w:b/>
          <w:szCs w:val="28"/>
          <w:lang w:val="nl-NL"/>
        </w:rPr>
        <w:t>Nghị quyết</w:t>
      </w:r>
    </w:p>
    <w:p w:rsidR="00E32E11" w:rsidRPr="003237FE" w:rsidRDefault="00E32E11" w:rsidP="007F450C">
      <w:pPr>
        <w:ind w:firstLine="720"/>
        <w:jc w:val="both"/>
        <w:rPr>
          <w:szCs w:val="28"/>
          <w:lang w:val="pt-BR"/>
        </w:rPr>
      </w:pPr>
      <w:r w:rsidRPr="006F3D5E">
        <w:rPr>
          <w:spacing w:val="-2"/>
          <w:szCs w:val="28"/>
          <w:lang w:val="nl-NL"/>
        </w:rPr>
        <w:t xml:space="preserve">- </w:t>
      </w:r>
      <w:r w:rsidRPr="006F3D5E">
        <w:rPr>
          <w:szCs w:val="28"/>
        </w:rPr>
        <w:t xml:space="preserve">Bám sát chủ trương, định hướng của Đảng, các </w:t>
      </w:r>
      <w:r w:rsidR="00693A59" w:rsidRPr="006F3D5E">
        <w:rPr>
          <w:szCs w:val="28"/>
          <w:lang w:val="en-US"/>
        </w:rPr>
        <w:t>N</w:t>
      </w:r>
      <w:r w:rsidRPr="006F3D5E">
        <w:rPr>
          <w:szCs w:val="28"/>
        </w:rPr>
        <w:t>ghị quyết của Quốc hội, kiên trì giữ vững ổn định kinh tế vĩ mô,</w:t>
      </w:r>
      <w:r w:rsidRPr="003237FE">
        <w:rPr>
          <w:szCs w:val="28"/>
        </w:rPr>
        <w:t xml:space="preserve">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hàng năm, Kế hoạch cơ cấu lại nền kinh tế giai đoạn 2021 - 2025</w:t>
      </w:r>
      <w:r w:rsidRPr="003237FE">
        <w:rPr>
          <w:szCs w:val="28"/>
          <w:lang w:val="pt-BR"/>
        </w:rPr>
        <w:t>.</w:t>
      </w:r>
    </w:p>
    <w:p w:rsidR="00E32E11" w:rsidRPr="00EE15ED" w:rsidRDefault="00E32E11" w:rsidP="007F450C">
      <w:pPr>
        <w:ind w:firstLine="720"/>
        <w:jc w:val="both"/>
        <w:rPr>
          <w:szCs w:val="28"/>
          <w:lang w:val="pt-BR"/>
        </w:rPr>
      </w:pPr>
      <w:r w:rsidRPr="003237FE">
        <w:rPr>
          <w:szCs w:val="28"/>
          <w:lang w:val="pt-BR"/>
        </w:rPr>
        <w:t>- Góp phần giảm giá thành hàng hóa, dịch vụ để thúc đẩy sản xuất kinh doanh</w:t>
      </w:r>
      <w:r w:rsidRPr="003237FE">
        <w:rPr>
          <w:spacing w:val="-2"/>
          <w:szCs w:val="28"/>
          <w:lang w:val="nl-NL"/>
        </w:rPr>
        <w:t xml:space="preserve"> và tạo thêm công ăn việc làm cho người</w:t>
      </w:r>
      <w:r w:rsidRPr="00EE15ED">
        <w:rPr>
          <w:spacing w:val="-2"/>
          <w:szCs w:val="28"/>
          <w:lang w:val="nl-NL"/>
        </w:rPr>
        <w:t xml:space="preserve"> lao động.</w:t>
      </w:r>
    </w:p>
    <w:p w:rsidR="00E32E11" w:rsidRPr="00EE15ED" w:rsidRDefault="00E32E11" w:rsidP="007F450C">
      <w:pPr>
        <w:ind w:firstLine="720"/>
        <w:jc w:val="both"/>
        <w:rPr>
          <w:bCs/>
          <w:iCs/>
          <w:szCs w:val="28"/>
          <w:lang w:val="sv-SE"/>
        </w:rPr>
      </w:pPr>
      <w:r w:rsidRPr="00EE15ED">
        <w:rPr>
          <w:bCs/>
          <w:iCs/>
          <w:szCs w:val="28"/>
          <w:lang w:val="sv-SE"/>
        </w:rPr>
        <w:t>- Đảm bảo dễ thực hiện nhằm tạo thuận lợi cho người nộp thuế, phù hợp với bối cảnh hiện nay.</w:t>
      </w:r>
    </w:p>
    <w:p w:rsidR="00E32E11" w:rsidRPr="00EE15ED" w:rsidRDefault="00E32E11" w:rsidP="007F450C">
      <w:pPr>
        <w:ind w:firstLine="720"/>
        <w:jc w:val="both"/>
        <w:rPr>
          <w:b/>
          <w:bCs/>
          <w:iCs/>
          <w:lang w:val="sv-SE"/>
        </w:rPr>
      </w:pPr>
      <w:r w:rsidRPr="00EE15ED">
        <w:rPr>
          <w:b/>
          <w:bCs/>
          <w:iCs/>
          <w:lang w:val="sv-SE"/>
        </w:rPr>
        <w:t>I</w:t>
      </w:r>
      <w:r w:rsidR="00C43D30">
        <w:rPr>
          <w:b/>
          <w:bCs/>
          <w:iCs/>
          <w:lang w:val="sv-SE"/>
        </w:rPr>
        <w:t>II</w:t>
      </w:r>
      <w:r w:rsidRPr="00EE15ED">
        <w:rPr>
          <w:b/>
          <w:bCs/>
          <w:iCs/>
          <w:lang w:val="sv-SE"/>
        </w:rPr>
        <w:t xml:space="preserve">. PHẠM VI ĐIỀU CHỈNH, ĐỐI TƯỢNG ÁP DỤNG CỦA </w:t>
      </w:r>
      <w:r w:rsidR="00C43D30">
        <w:rPr>
          <w:b/>
          <w:bCs/>
          <w:iCs/>
          <w:lang w:val="sv-SE"/>
        </w:rPr>
        <w:t>NGHỊ QUYẾT</w:t>
      </w:r>
    </w:p>
    <w:p w:rsidR="00E32E11" w:rsidRPr="00EE15ED" w:rsidRDefault="00E32E11" w:rsidP="007F450C">
      <w:pPr>
        <w:ind w:firstLine="720"/>
        <w:jc w:val="both"/>
        <w:rPr>
          <w:b/>
          <w:bCs/>
          <w:iCs/>
          <w:lang w:val="sv-SE"/>
        </w:rPr>
      </w:pPr>
      <w:r w:rsidRPr="00EE15ED">
        <w:rPr>
          <w:b/>
          <w:bCs/>
          <w:iCs/>
          <w:lang w:val="sv-SE"/>
        </w:rPr>
        <w:t>1. Phạm vi điều chỉnh</w:t>
      </w:r>
    </w:p>
    <w:p w:rsidR="00E32E11" w:rsidRPr="00EE15ED" w:rsidRDefault="00E32E11" w:rsidP="007F450C">
      <w:pPr>
        <w:ind w:firstLine="720"/>
        <w:jc w:val="both"/>
        <w:rPr>
          <w:bCs/>
          <w:iCs/>
          <w:lang w:val="pt-BR"/>
        </w:rPr>
      </w:pPr>
      <w:r w:rsidRPr="00EE15ED">
        <w:rPr>
          <w:bCs/>
          <w:iCs/>
          <w:lang w:val="sv-SE"/>
        </w:rPr>
        <w:t xml:space="preserve">Nghị quyết này điều chỉnh </w:t>
      </w:r>
      <w:r w:rsidRPr="00710BE5">
        <w:rPr>
          <w:bCs/>
          <w:iCs/>
          <w:lang w:val="sv-SE"/>
        </w:rPr>
        <w:t xml:space="preserve">đối với nhóm hàng hóa, dịch vụ </w:t>
      </w:r>
      <w:r w:rsidRPr="00710BE5">
        <w:rPr>
          <w:bCs/>
          <w:iCs/>
          <w:lang w:val="pt-BR"/>
        </w:rPr>
        <w:t>đang áp dụng mức thuế suất 10%</w:t>
      </w:r>
      <w:r w:rsidRPr="00710BE5">
        <w:rPr>
          <w:bCs/>
          <w:iCs/>
          <w:lang w:val="nl-NL"/>
        </w:rPr>
        <w:t xml:space="preserve">, </w:t>
      </w:r>
      <w:r w:rsidRPr="00710BE5">
        <w:rPr>
          <w:bCs/>
          <w:iCs/>
          <w:lang w:val="pt-BR"/>
        </w:rPr>
        <w:t xml:space="preserve">trừ một số nhóm hàng hóa, dịch vụ sau: </w:t>
      </w:r>
      <w:r w:rsidR="00710BE5" w:rsidRPr="00710BE5">
        <w:rPr>
          <w:szCs w:val="28"/>
          <w:lang w:val="pt-BR"/>
        </w:rPr>
        <w:t xml:space="preserve">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w:t>
      </w:r>
      <w:r w:rsidR="00710BE5" w:rsidRPr="00710BE5">
        <w:rPr>
          <w:szCs w:val="28"/>
          <w:lang w:val="pt-BR"/>
        </w:rPr>
        <w:lastRenderedPageBreak/>
        <w:t>hoá chất, sản phẩm hàng hóa và dịch vụ chịu thuế tiêu thụ đặc biệ</w:t>
      </w:r>
      <w:r w:rsidR="00710BE5">
        <w:rPr>
          <w:szCs w:val="28"/>
          <w:lang w:val="pt-BR"/>
        </w:rPr>
        <w:t>t</w:t>
      </w:r>
      <w:r w:rsidR="002D4192">
        <w:rPr>
          <w:bCs/>
          <w:iCs/>
          <w:lang w:val="pt-BR"/>
        </w:rPr>
        <w:t xml:space="preserve"> trong 6 tháng đầu năm 2025</w:t>
      </w:r>
      <w:r w:rsidRPr="00EE15ED">
        <w:rPr>
          <w:bCs/>
          <w:iCs/>
          <w:lang w:val="pt-BR"/>
        </w:rPr>
        <w:t>.</w:t>
      </w:r>
    </w:p>
    <w:p w:rsidR="00E32E11" w:rsidRDefault="00E32E11" w:rsidP="007F450C">
      <w:pPr>
        <w:ind w:firstLine="720"/>
        <w:jc w:val="both"/>
        <w:rPr>
          <w:rFonts w:eastAsia="Times New Roman"/>
          <w:bCs/>
          <w:iCs/>
          <w:szCs w:val="28"/>
          <w:lang w:val="nl-NL"/>
        </w:rPr>
      </w:pPr>
      <w:r w:rsidRPr="00EE15ED">
        <w:rPr>
          <w:bCs/>
          <w:iCs/>
          <w:lang w:val="pt-BR"/>
        </w:rPr>
        <w:t xml:space="preserve">Phương án giảm thuế GTGT tại dự thảo Nghị quyết giữ nguyên như nội dung đã được quy định tại </w:t>
      </w:r>
      <w:r w:rsidRPr="00EE15ED">
        <w:rPr>
          <w:rFonts w:eastAsia="Times New Roman"/>
          <w:bCs/>
          <w:iCs/>
          <w:szCs w:val="28"/>
          <w:lang w:val="pt-BR"/>
        </w:rPr>
        <w:t>Nghị quyết số 43/2022/QH15</w:t>
      </w:r>
      <w:r w:rsidR="00F47D4C" w:rsidRPr="00EE15ED">
        <w:rPr>
          <w:rFonts w:eastAsia="Times New Roman"/>
          <w:bCs/>
          <w:iCs/>
          <w:szCs w:val="28"/>
          <w:lang w:val="pt-BR"/>
        </w:rPr>
        <w:t>,</w:t>
      </w:r>
      <w:r w:rsidRPr="00EE15ED">
        <w:rPr>
          <w:rFonts w:eastAsia="Times New Roman"/>
          <w:bCs/>
          <w:iCs/>
          <w:szCs w:val="28"/>
          <w:lang w:val="pt-BR"/>
        </w:rPr>
        <w:t xml:space="preserve"> </w:t>
      </w:r>
      <w:r w:rsidRPr="00EE15ED">
        <w:rPr>
          <w:rFonts w:eastAsia="Times New Roman"/>
          <w:bCs/>
          <w:iCs/>
          <w:szCs w:val="28"/>
          <w:lang w:val="nl-NL"/>
        </w:rPr>
        <w:t>Nghị quyết số 101/2023/QH15</w:t>
      </w:r>
      <w:r w:rsidR="00C65F67">
        <w:rPr>
          <w:rFonts w:eastAsia="Times New Roman"/>
          <w:bCs/>
          <w:iCs/>
          <w:szCs w:val="28"/>
          <w:lang w:val="nl-NL"/>
        </w:rPr>
        <w:t>,</w:t>
      </w:r>
      <w:r w:rsidR="00F47D4C" w:rsidRPr="00EE15ED">
        <w:rPr>
          <w:rFonts w:eastAsia="Times New Roman"/>
          <w:bCs/>
          <w:iCs/>
          <w:szCs w:val="28"/>
          <w:lang w:val="nl-NL"/>
        </w:rPr>
        <w:t xml:space="preserve"> Nghị quyết số 110/2023/QH15</w:t>
      </w:r>
      <w:r w:rsidR="00C65F67">
        <w:rPr>
          <w:rFonts w:eastAsia="Times New Roman"/>
          <w:bCs/>
          <w:iCs/>
          <w:szCs w:val="28"/>
          <w:lang w:val="nl-NL"/>
        </w:rPr>
        <w:t xml:space="preserve"> và Nghị quyết số 142/2024/QH15.</w:t>
      </w:r>
    </w:p>
    <w:p w:rsidR="00E32E11" w:rsidRPr="00EE15ED" w:rsidRDefault="00E32E11" w:rsidP="007F450C">
      <w:pPr>
        <w:ind w:firstLine="720"/>
        <w:jc w:val="both"/>
        <w:rPr>
          <w:b/>
          <w:bCs/>
          <w:iCs/>
          <w:lang w:val="sv-SE"/>
        </w:rPr>
      </w:pPr>
      <w:r w:rsidRPr="00EE15ED">
        <w:rPr>
          <w:b/>
          <w:bCs/>
          <w:iCs/>
          <w:lang w:val="sv-SE"/>
        </w:rPr>
        <w:t>2. Đối tượng áp dụng</w:t>
      </w:r>
    </w:p>
    <w:p w:rsidR="00603244" w:rsidRPr="00EE15ED" w:rsidRDefault="00603244" w:rsidP="007F450C">
      <w:pPr>
        <w:tabs>
          <w:tab w:val="left" w:pos="2780"/>
          <w:tab w:val="center" w:pos="4631"/>
        </w:tabs>
        <w:autoSpaceDE w:val="0"/>
        <w:autoSpaceDN w:val="0"/>
        <w:adjustRightInd w:val="0"/>
        <w:ind w:firstLine="720"/>
        <w:jc w:val="both"/>
        <w:rPr>
          <w:rFonts w:eastAsia="Times New Roman"/>
          <w:szCs w:val="28"/>
          <w:lang w:val="nl-NL"/>
        </w:rPr>
      </w:pPr>
      <w:r w:rsidRPr="00EE15ED">
        <w:rPr>
          <w:rFonts w:eastAsia="Times New Roman"/>
          <w:szCs w:val="28"/>
          <w:lang w:val="nl-NL"/>
        </w:rPr>
        <w:t>- Các tổ chức, cá nhân sản xuất, nhập khẩu hàng hóa và kinh doanh dịch vụ thuộc đối tượng chịu thuế GTGT.</w:t>
      </w:r>
    </w:p>
    <w:p w:rsidR="00603244" w:rsidRPr="00EE15ED" w:rsidRDefault="00603244" w:rsidP="007F450C">
      <w:pPr>
        <w:tabs>
          <w:tab w:val="left" w:pos="2780"/>
          <w:tab w:val="center" w:pos="4631"/>
        </w:tabs>
        <w:autoSpaceDE w:val="0"/>
        <w:autoSpaceDN w:val="0"/>
        <w:adjustRightInd w:val="0"/>
        <w:ind w:firstLine="720"/>
        <w:jc w:val="both"/>
        <w:rPr>
          <w:rFonts w:eastAsia="Times New Roman"/>
          <w:szCs w:val="28"/>
          <w:lang w:val="nl-NL"/>
        </w:rPr>
      </w:pPr>
      <w:r w:rsidRPr="00EE15ED">
        <w:rPr>
          <w:rFonts w:eastAsia="Times New Roman"/>
          <w:szCs w:val="28"/>
          <w:lang w:val="nl-NL"/>
        </w:rPr>
        <w:t>- Cơ quan quản lý thuế, cơ quan nhà nước, tổ chức, cá nhân khác có liên quan.</w:t>
      </w:r>
    </w:p>
    <w:p w:rsidR="00B6794E" w:rsidRDefault="00C43D30" w:rsidP="00B6794E">
      <w:pPr>
        <w:ind w:firstLine="720"/>
        <w:jc w:val="both"/>
        <w:rPr>
          <w:b/>
          <w:bCs/>
          <w:szCs w:val="28"/>
          <w:lang w:val="nb-NO"/>
        </w:rPr>
      </w:pPr>
      <w:r>
        <w:rPr>
          <w:b/>
          <w:bCs/>
          <w:iCs/>
          <w:lang w:val="sv-SE"/>
        </w:rPr>
        <w:t>I</w:t>
      </w:r>
      <w:r w:rsidR="00603244" w:rsidRPr="00EE15ED">
        <w:rPr>
          <w:b/>
          <w:bCs/>
          <w:iCs/>
          <w:lang w:val="sv-SE"/>
        </w:rPr>
        <w:t xml:space="preserve">V. </w:t>
      </w:r>
      <w:r w:rsidR="00B6794E" w:rsidRPr="005C0198">
        <w:rPr>
          <w:b/>
          <w:bCs/>
          <w:szCs w:val="28"/>
          <w:lang w:val="nl-NL"/>
        </w:rPr>
        <w:t xml:space="preserve">BỐ CỤC VÀ </w:t>
      </w:r>
      <w:r w:rsidR="00B6794E" w:rsidRPr="005C0198">
        <w:rPr>
          <w:b/>
          <w:bCs/>
          <w:szCs w:val="28"/>
        </w:rPr>
        <w:t>NỘI</w:t>
      </w:r>
      <w:r w:rsidR="00B6794E" w:rsidRPr="005C0198">
        <w:rPr>
          <w:b/>
          <w:bCs/>
          <w:szCs w:val="28"/>
          <w:lang w:val="nl-NL"/>
        </w:rPr>
        <w:t xml:space="preserve"> </w:t>
      </w:r>
      <w:r w:rsidR="00B6794E" w:rsidRPr="005C0198">
        <w:rPr>
          <w:b/>
          <w:bCs/>
          <w:szCs w:val="28"/>
        </w:rPr>
        <w:t>DUNG CỦA DỰ THẢO</w:t>
      </w:r>
      <w:r w:rsidR="00B6794E" w:rsidRPr="005C0198">
        <w:rPr>
          <w:b/>
          <w:bCs/>
          <w:szCs w:val="28"/>
          <w:lang w:val="nb-NO"/>
        </w:rPr>
        <w:t xml:space="preserve"> NGHỊ QUYẾT</w:t>
      </w:r>
    </w:p>
    <w:p w:rsidR="00B6794E" w:rsidRPr="00A22012" w:rsidRDefault="00B6794E" w:rsidP="00B6794E">
      <w:pPr>
        <w:ind w:firstLine="720"/>
        <w:jc w:val="both"/>
        <w:rPr>
          <w:rFonts w:eastAsia="Times New Roman"/>
          <w:bCs/>
          <w:iCs/>
          <w:szCs w:val="28"/>
          <w:lang w:val="pt-BR"/>
        </w:rPr>
      </w:pPr>
      <w:r w:rsidRPr="00A22012">
        <w:rPr>
          <w:rFonts w:eastAsia="Times New Roman"/>
          <w:bCs/>
          <w:iCs/>
          <w:szCs w:val="28"/>
          <w:lang w:val="pt-BR"/>
        </w:rPr>
        <w:t>Luật thuế GTGT hiện hành quy định 02 mức thuế suất thuế GTGT 5% và 10% (không kể mức 0% áp dụng đối với hàng hóa, dịch vụ xuất khẩu; đối tượng không chịu thuế GTGT). Số thuế phải nộp = số thuế GTGT đầu ra - số thuế GTGT đầu vào. Hàng hóa, dịch vụ mua vào của cơ sở kinh doanh có loại áp dụng thuế suất 10%, 5% hoặc không chịu thuế GTGT. Do vậy, đối với hàng hóa, dịch vụ thuộc đối tượng chịu thuế GTGT 5% thì cơ bản số thuế GTGT đầu ra nhỏ hơn số thuế GTGT đầu vào nên cơ sở kinh doanh thường không phát sinh số thuế GTGT phải nộp. Đối với hàng hóa, dịch vụ thuộc đối tượng chịu thuế GTGT 10% thì sẽ phát sinh số thuế GTGT phải nộp (thuế GTGT đầu ra lớn hơn thuế GTGT đầu vào).</w:t>
      </w:r>
    </w:p>
    <w:p w:rsidR="005B6DEF" w:rsidRPr="009856F1" w:rsidRDefault="005B6DEF" w:rsidP="005B6DEF">
      <w:pPr>
        <w:ind w:firstLine="720"/>
        <w:jc w:val="both"/>
        <w:rPr>
          <w:bCs/>
          <w:iCs/>
          <w:szCs w:val="28"/>
          <w:lang w:val="pt-BR"/>
        </w:rPr>
      </w:pPr>
      <w:r w:rsidRPr="009856F1">
        <w:rPr>
          <w:bCs/>
          <w:iCs/>
          <w:szCs w:val="28"/>
          <w:lang w:val="pt-BR"/>
        </w:rPr>
        <w:t xml:space="preserve">Việc thực hiện giảm thuế GTGT đối với các nhóm hàng hóa, dịch vụ trên đã được quy định tại Nghị quyết số 43/2022/QH15, </w:t>
      </w:r>
      <w:r w:rsidRPr="009856F1">
        <w:rPr>
          <w:bCs/>
          <w:iCs/>
          <w:szCs w:val="28"/>
          <w:lang w:val="nl-NL"/>
        </w:rPr>
        <w:t>Nghị quyết số 101/2023/QH15, Nghị quyết số 110/2023/QH15</w:t>
      </w:r>
      <w:r>
        <w:rPr>
          <w:bCs/>
          <w:iCs/>
          <w:szCs w:val="28"/>
          <w:lang w:val="nl-NL"/>
        </w:rPr>
        <w:t xml:space="preserve">, </w:t>
      </w:r>
      <w:r>
        <w:rPr>
          <w:rFonts w:eastAsia="Times New Roman"/>
          <w:bCs/>
          <w:iCs/>
          <w:szCs w:val="28"/>
          <w:lang w:val="nl-NL"/>
        </w:rPr>
        <w:t>Nghị quyết số 142/2024/QH15</w:t>
      </w:r>
      <w:r w:rsidRPr="009856F1">
        <w:rPr>
          <w:bCs/>
          <w:iCs/>
          <w:szCs w:val="28"/>
          <w:lang w:val="nl-NL"/>
        </w:rPr>
        <w:t xml:space="preserve"> và thực hiện ổn định trong </w:t>
      </w:r>
      <w:r>
        <w:rPr>
          <w:bCs/>
          <w:iCs/>
          <w:szCs w:val="28"/>
          <w:lang w:val="nl-NL"/>
        </w:rPr>
        <w:t xml:space="preserve">giai đoạn </w:t>
      </w:r>
      <w:r w:rsidRPr="009856F1">
        <w:rPr>
          <w:bCs/>
          <w:iCs/>
          <w:szCs w:val="28"/>
          <w:lang w:val="nl-NL"/>
        </w:rPr>
        <w:t>2022</w:t>
      </w:r>
      <w:r>
        <w:rPr>
          <w:bCs/>
          <w:iCs/>
          <w:szCs w:val="28"/>
          <w:lang w:val="nl-NL"/>
        </w:rPr>
        <w:t>-</w:t>
      </w:r>
      <w:r w:rsidRPr="009856F1">
        <w:rPr>
          <w:bCs/>
          <w:iCs/>
          <w:szCs w:val="28"/>
          <w:lang w:val="nl-NL"/>
        </w:rPr>
        <w:t xml:space="preserve">2024. </w:t>
      </w:r>
    </w:p>
    <w:p w:rsidR="00DC4526" w:rsidRDefault="005B6DEF" w:rsidP="007F450C">
      <w:pPr>
        <w:ind w:firstLine="720"/>
        <w:jc w:val="both"/>
        <w:rPr>
          <w:rFonts w:eastAsia="Times New Roman"/>
          <w:bCs/>
          <w:i/>
          <w:iCs/>
          <w:szCs w:val="28"/>
          <w:lang w:val="pt-BR"/>
        </w:rPr>
      </w:pPr>
      <w:r w:rsidRPr="00EE15ED">
        <w:rPr>
          <w:rFonts w:eastAsia="Times New Roman"/>
          <w:bCs/>
          <w:i/>
          <w:iCs/>
          <w:szCs w:val="28"/>
          <w:lang w:val="pt-BR"/>
        </w:rPr>
        <w:t xml:space="preserve"> </w:t>
      </w:r>
      <w:r w:rsidR="00DC4526" w:rsidRPr="00EE15ED">
        <w:rPr>
          <w:rFonts w:eastAsia="Times New Roman"/>
          <w:bCs/>
          <w:i/>
          <w:iCs/>
          <w:szCs w:val="28"/>
          <w:lang w:val="pt-BR"/>
        </w:rPr>
        <w:t>(</w:t>
      </w:r>
      <w:r w:rsidR="00F065C3">
        <w:rPr>
          <w:i/>
          <w:szCs w:val="28"/>
          <w:lang w:val="nl-NL"/>
        </w:rPr>
        <w:t xml:space="preserve">Báo cáo </w:t>
      </w:r>
      <w:r w:rsidR="00DC4526" w:rsidRPr="00EE15ED">
        <w:rPr>
          <w:i/>
          <w:szCs w:val="28"/>
          <w:lang w:val="nl-NL"/>
        </w:rPr>
        <w:t xml:space="preserve">đánh giá </w:t>
      </w:r>
      <w:r w:rsidR="00DC4526" w:rsidRPr="00EE15ED">
        <w:rPr>
          <w:rFonts w:eastAsia="Times New Roman"/>
          <w:i/>
          <w:szCs w:val="24"/>
          <w:lang w:val="nl-NL"/>
        </w:rPr>
        <w:t xml:space="preserve">tình hình thực hiện giảm thuế GTGT theo </w:t>
      </w:r>
      <w:r w:rsidR="00DC4526" w:rsidRPr="00EE15ED">
        <w:rPr>
          <w:rFonts w:eastAsia="Times New Roman"/>
          <w:bCs/>
          <w:i/>
          <w:iCs/>
          <w:szCs w:val="24"/>
          <w:lang w:val="nl-NL"/>
        </w:rPr>
        <w:t xml:space="preserve">Nghị quyết số </w:t>
      </w:r>
      <w:r w:rsidR="00DC4526">
        <w:rPr>
          <w:rFonts w:eastAsia="Times New Roman"/>
          <w:bCs/>
          <w:i/>
          <w:iCs/>
          <w:szCs w:val="24"/>
          <w:lang w:val="nl-NL"/>
        </w:rPr>
        <w:t>142</w:t>
      </w:r>
      <w:r w:rsidR="00DC4526" w:rsidRPr="00EE15ED">
        <w:rPr>
          <w:rFonts w:eastAsia="Times New Roman"/>
          <w:bCs/>
          <w:i/>
          <w:iCs/>
          <w:szCs w:val="24"/>
          <w:lang w:val="nl-NL"/>
        </w:rPr>
        <w:t>/202</w:t>
      </w:r>
      <w:r w:rsidR="00DC4526">
        <w:rPr>
          <w:rFonts w:eastAsia="Times New Roman"/>
          <w:bCs/>
          <w:i/>
          <w:iCs/>
          <w:szCs w:val="24"/>
          <w:lang w:val="nl-NL"/>
        </w:rPr>
        <w:t>4</w:t>
      </w:r>
      <w:r w:rsidR="00DC4526" w:rsidRPr="00EE15ED">
        <w:rPr>
          <w:rFonts w:eastAsia="Times New Roman"/>
          <w:bCs/>
          <w:i/>
          <w:iCs/>
          <w:szCs w:val="24"/>
          <w:lang w:val="nl-NL"/>
        </w:rPr>
        <w:t>/QH15 ngày 29/</w:t>
      </w:r>
      <w:r w:rsidR="00DC4526">
        <w:rPr>
          <w:rFonts w:eastAsia="Times New Roman"/>
          <w:bCs/>
          <w:i/>
          <w:iCs/>
          <w:szCs w:val="24"/>
          <w:lang w:val="nl-NL"/>
        </w:rPr>
        <w:t>6</w:t>
      </w:r>
      <w:r w:rsidR="00DC4526" w:rsidRPr="00EE15ED">
        <w:rPr>
          <w:rFonts w:eastAsia="Times New Roman"/>
          <w:bCs/>
          <w:i/>
          <w:iCs/>
          <w:szCs w:val="24"/>
          <w:lang w:val="nl-NL"/>
        </w:rPr>
        <w:t>/202</w:t>
      </w:r>
      <w:r w:rsidR="00DC4526">
        <w:rPr>
          <w:rFonts w:eastAsia="Times New Roman"/>
          <w:bCs/>
          <w:i/>
          <w:iCs/>
          <w:szCs w:val="24"/>
          <w:lang w:val="nl-NL"/>
        </w:rPr>
        <w:t>4</w:t>
      </w:r>
      <w:r w:rsidR="00DC4526" w:rsidRPr="00EE15ED">
        <w:rPr>
          <w:rFonts w:eastAsia="Times New Roman"/>
          <w:bCs/>
          <w:i/>
          <w:iCs/>
          <w:szCs w:val="24"/>
          <w:lang w:val="nl-NL"/>
        </w:rPr>
        <w:t xml:space="preserve"> của Quốc hội </w:t>
      </w:r>
      <w:r w:rsidR="00DC4526" w:rsidRPr="00EE15ED">
        <w:rPr>
          <w:rFonts w:eastAsia="Times New Roman"/>
          <w:i/>
          <w:szCs w:val="24"/>
          <w:lang w:val="nl-NL"/>
        </w:rPr>
        <w:t xml:space="preserve">về Kỳ họp thứ </w:t>
      </w:r>
      <w:r w:rsidR="00DC4526">
        <w:rPr>
          <w:rFonts w:eastAsia="Times New Roman"/>
          <w:i/>
          <w:szCs w:val="24"/>
          <w:lang w:val="nl-NL"/>
        </w:rPr>
        <w:t>7</w:t>
      </w:r>
      <w:r w:rsidR="00DC4526" w:rsidRPr="00EE15ED">
        <w:rPr>
          <w:rFonts w:eastAsia="Times New Roman"/>
          <w:i/>
          <w:szCs w:val="24"/>
          <w:lang w:val="nl-NL"/>
        </w:rPr>
        <w:t xml:space="preserve"> Quốc hội khóa XV </w:t>
      </w:r>
      <w:r w:rsidR="00A95B72">
        <w:rPr>
          <w:rFonts w:eastAsia="Times New Roman"/>
          <w:i/>
          <w:szCs w:val="24"/>
          <w:lang w:val="nl-NL"/>
        </w:rPr>
        <w:t>-</w:t>
      </w:r>
      <w:r w:rsidR="00DC4526">
        <w:rPr>
          <w:rFonts w:eastAsia="Times New Roman"/>
          <w:i/>
          <w:szCs w:val="24"/>
          <w:lang w:val="nl-NL"/>
        </w:rPr>
        <w:t xml:space="preserve"> </w:t>
      </w:r>
      <w:r w:rsidR="00DC4526" w:rsidRPr="00EE15ED">
        <w:rPr>
          <w:rFonts w:eastAsia="Times New Roman"/>
          <w:bCs/>
          <w:i/>
          <w:iCs/>
          <w:szCs w:val="28"/>
          <w:lang w:val="pt-BR"/>
        </w:rPr>
        <w:t>trình kèm)</w:t>
      </w:r>
    </w:p>
    <w:p w:rsidR="00710BE5" w:rsidRPr="00710BE5" w:rsidRDefault="005B6DEF" w:rsidP="005B6DEF">
      <w:pPr>
        <w:ind w:firstLine="720"/>
        <w:jc w:val="both"/>
        <w:rPr>
          <w:szCs w:val="28"/>
          <w:lang w:val="pt-BR"/>
        </w:rPr>
      </w:pPr>
      <w:r w:rsidRPr="009856F1">
        <w:rPr>
          <w:bCs/>
          <w:iCs/>
          <w:szCs w:val="28"/>
          <w:lang w:val="pt-BR"/>
        </w:rPr>
        <w:t>Trên cơ sở báo cáo đánh giá tình hình thực hiện chính sách giảm 2% thuế suất thuế GTGT theo Nghị quyết số 1</w:t>
      </w:r>
      <w:r>
        <w:rPr>
          <w:bCs/>
          <w:iCs/>
          <w:szCs w:val="28"/>
          <w:lang w:val="pt-BR"/>
        </w:rPr>
        <w:t>42</w:t>
      </w:r>
      <w:r w:rsidRPr="009856F1">
        <w:rPr>
          <w:bCs/>
          <w:iCs/>
          <w:szCs w:val="28"/>
          <w:lang w:val="pt-BR"/>
        </w:rPr>
        <w:t>/202</w:t>
      </w:r>
      <w:r>
        <w:rPr>
          <w:bCs/>
          <w:iCs/>
          <w:szCs w:val="28"/>
          <w:lang w:val="pt-BR"/>
        </w:rPr>
        <w:t>4</w:t>
      </w:r>
      <w:r w:rsidRPr="009856F1">
        <w:rPr>
          <w:bCs/>
          <w:iCs/>
          <w:szCs w:val="28"/>
          <w:lang w:val="pt-BR"/>
        </w:rPr>
        <w:t xml:space="preserve">/QH15 và đã được thực hiện ổn định trong </w:t>
      </w:r>
      <w:r>
        <w:rPr>
          <w:bCs/>
          <w:iCs/>
          <w:szCs w:val="28"/>
          <w:lang w:val="pt-BR"/>
        </w:rPr>
        <w:t xml:space="preserve">giai đoạn </w:t>
      </w:r>
      <w:r w:rsidRPr="009856F1">
        <w:rPr>
          <w:bCs/>
          <w:iCs/>
          <w:szCs w:val="28"/>
          <w:lang w:val="pt-BR"/>
        </w:rPr>
        <w:t>2022</w:t>
      </w:r>
      <w:r>
        <w:rPr>
          <w:bCs/>
          <w:iCs/>
          <w:szCs w:val="28"/>
          <w:lang w:val="pt-BR"/>
        </w:rPr>
        <w:t>-2024</w:t>
      </w:r>
      <w:r w:rsidRPr="009856F1">
        <w:rPr>
          <w:bCs/>
          <w:iCs/>
          <w:szCs w:val="28"/>
          <w:lang w:val="pt-BR"/>
        </w:rPr>
        <w:t xml:space="preserve"> theo Nghị quyết số 43/2022/QH15, Nghị quyết số 101/2023/QH15,</w:t>
      </w:r>
      <w:r>
        <w:rPr>
          <w:bCs/>
          <w:iCs/>
          <w:szCs w:val="28"/>
          <w:lang w:val="pt-BR"/>
        </w:rPr>
        <w:t xml:space="preserve"> </w:t>
      </w:r>
      <w:r w:rsidRPr="009856F1">
        <w:rPr>
          <w:bCs/>
          <w:iCs/>
          <w:szCs w:val="28"/>
          <w:lang w:val="nl-NL"/>
        </w:rPr>
        <w:t>Nghị quyết số 110/2023/QH15</w:t>
      </w:r>
      <w:r>
        <w:rPr>
          <w:bCs/>
          <w:iCs/>
          <w:szCs w:val="28"/>
          <w:lang w:val="nl-NL"/>
        </w:rPr>
        <w:t xml:space="preserve">, </w:t>
      </w:r>
      <w:r>
        <w:rPr>
          <w:rFonts w:eastAsia="Times New Roman"/>
          <w:bCs/>
          <w:iCs/>
          <w:szCs w:val="28"/>
          <w:lang w:val="nl-NL"/>
        </w:rPr>
        <w:t>Nghị quyết số 142/2024/QH15,</w:t>
      </w:r>
      <w:r w:rsidRPr="009856F1">
        <w:rPr>
          <w:bCs/>
          <w:iCs/>
          <w:szCs w:val="28"/>
          <w:lang w:val="pt-BR"/>
        </w:rPr>
        <w:t xml:space="preserve"> </w:t>
      </w:r>
      <w:r>
        <w:rPr>
          <w:bCs/>
          <w:iCs/>
          <w:szCs w:val="28"/>
          <w:lang w:val="pt-BR"/>
        </w:rPr>
        <w:t>Chính phủ</w:t>
      </w:r>
      <w:r w:rsidRPr="009856F1">
        <w:rPr>
          <w:bCs/>
          <w:iCs/>
          <w:szCs w:val="28"/>
          <w:lang w:val="pt-BR"/>
        </w:rPr>
        <w:t xml:space="preserve"> đề xuất t</w:t>
      </w:r>
      <w:r w:rsidRPr="009856F1">
        <w:rPr>
          <w:bCs/>
          <w:iCs/>
          <w:szCs w:val="28"/>
          <w:lang w:val="nl-NL"/>
        </w:rPr>
        <w:t xml:space="preserve">iếp tục thực hiện chính sách giảm </w:t>
      </w:r>
      <w:r w:rsidRPr="009856F1">
        <w:rPr>
          <w:szCs w:val="28"/>
          <w:lang w:val="pt-BR"/>
        </w:rPr>
        <w:t xml:space="preserve">2% </w:t>
      </w:r>
      <w:r w:rsidRPr="009856F1">
        <w:rPr>
          <w:bCs/>
          <w:iCs/>
          <w:szCs w:val="28"/>
          <w:lang w:val="pt-BR"/>
        </w:rPr>
        <w:t xml:space="preserve">thuế </w:t>
      </w:r>
      <w:r w:rsidRPr="009856F1">
        <w:rPr>
          <w:bCs/>
          <w:iCs/>
          <w:szCs w:val="28"/>
          <w:lang w:val="nl-NL"/>
        </w:rPr>
        <w:t xml:space="preserve">suất thuế </w:t>
      </w:r>
      <w:r w:rsidRPr="009856F1">
        <w:rPr>
          <w:bCs/>
          <w:iCs/>
          <w:szCs w:val="28"/>
          <w:lang w:val="pt-BR"/>
        </w:rPr>
        <w:t>GTGT như nội dung chính sách giảm thuế GTGT đã được Quốc hội thông qua tại Nghị quyết số 43/2022/QH15, Nghị quyết số 101/2023/QH15</w:t>
      </w:r>
      <w:r>
        <w:rPr>
          <w:bCs/>
          <w:iCs/>
          <w:szCs w:val="28"/>
          <w:lang w:val="pt-BR"/>
        </w:rPr>
        <w:t xml:space="preserve">, </w:t>
      </w:r>
      <w:r w:rsidRPr="009856F1">
        <w:rPr>
          <w:bCs/>
          <w:iCs/>
          <w:szCs w:val="28"/>
          <w:lang w:val="pt-BR"/>
        </w:rPr>
        <w:t>Nghị quyết số 110/2023/QH15</w:t>
      </w:r>
      <w:r>
        <w:rPr>
          <w:bCs/>
          <w:iCs/>
          <w:szCs w:val="28"/>
          <w:lang w:val="pt-BR"/>
        </w:rPr>
        <w:t xml:space="preserve"> và</w:t>
      </w:r>
      <w:r w:rsidRPr="009856F1">
        <w:rPr>
          <w:bCs/>
          <w:iCs/>
          <w:szCs w:val="28"/>
          <w:lang w:val="pt-BR"/>
        </w:rPr>
        <w:t xml:space="preserve"> </w:t>
      </w:r>
      <w:r>
        <w:rPr>
          <w:rFonts w:eastAsia="Times New Roman"/>
          <w:bCs/>
          <w:iCs/>
          <w:szCs w:val="28"/>
          <w:lang w:val="nl-NL"/>
        </w:rPr>
        <w:t xml:space="preserve">Nghị quyết số 142/2024/QH15, </w:t>
      </w:r>
      <w:r w:rsidRPr="009856F1">
        <w:rPr>
          <w:bCs/>
          <w:iCs/>
          <w:szCs w:val="28"/>
          <w:lang w:val="pt-BR"/>
        </w:rPr>
        <w:t xml:space="preserve">cụ thể: Giảm 2% thuế suất thuế GTGT đối với các nhóm hàng hóa, dịch vụ </w:t>
      </w:r>
      <w:r w:rsidRPr="00710BE5">
        <w:rPr>
          <w:bCs/>
          <w:iCs/>
          <w:szCs w:val="28"/>
          <w:lang w:val="pt-BR"/>
        </w:rPr>
        <w:t>đang áp dụng mức thuế suất 10% (còn 8%)</w:t>
      </w:r>
      <w:r w:rsidRPr="00710BE5">
        <w:rPr>
          <w:bCs/>
          <w:iCs/>
          <w:szCs w:val="28"/>
          <w:lang w:val="nl-NL"/>
        </w:rPr>
        <w:t xml:space="preserve">, </w:t>
      </w:r>
      <w:r w:rsidRPr="00710BE5">
        <w:rPr>
          <w:bCs/>
          <w:iCs/>
          <w:szCs w:val="28"/>
          <w:lang w:val="pt-BR"/>
        </w:rPr>
        <w:t xml:space="preserve">trừ một số </w:t>
      </w:r>
      <w:r w:rsidRPr="00710BE5">
        <w:rPr>
          <w:bCs/>
          <w:iCs/>
          <w:szCs w:val="28"/>
          <w:lang w:val="pt-BR"/>
        </w:rPr>
        <w:lastRenderedPageBreak/>
        <w:t>nhóm hàng hóa, dịch vụ sau:</w:t>
      </w:r>
      <w:r w:rsidRPr="00710BE5">
        <w:rPr>
          <w:bCs/>
          <w:iCs/>
          <w:szCs w:val="28"/>
        </w:rPr>
        <w:t xml:space="preserve"> </w:t>
      </w:r>
      <w:r w:rsidR="00710BE5" w:rsidRPr="00710BE5">
        <w:rPr>
          <w:szCs w:val="28"/>
          <w:lang w:val="pt-BR"/>
        </w:rPr>
        <w:t>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rsidR="005B6DEF" w:rsidRPr="009856F1" w:rsidRDefault="005B6DEF" w:rsidP="005B6DEF">
      <w:pPr>
        <w:ind w:firstLine="720"/>
        <w:jc w:val="both"/>
        <w:rPr>
          <w:bCs/>
          <w:iCs/>
          <w:szCs w:val="28"/>
          <w:lang w:val="pt-BR"/>
        </w:rPr>
      </w:pPr>
      <w:r w:rsidRPr="009856F1">
        <w:rPr>
          <w:bCs/>
          <w:iCs/>
          <w:szCs w:val="28"/>
          <w:lang w:val="en-US"/>
        </w:rPr>
        <w:t xml:space="preserve">Đồng thời giao Chính phủ </w:t>
      </w:r>
      <w:r w:rsidRPr="009856F1">
        <w:rPr>
          <w:bCs/>
          <w:iCs/>
          <w:szCs w:val="28"/>
          <w:lang w:val="nl-NL"/>
        </w:rPr>
        <w:t>hướng dẫn việc giảm thuế suất thuế GTGT và tổ chức triển khai thực hiện chính sách này bảo đảm công khai minh bạch, hiệu quả.</w:t>
      </w:r>
    </w:p>
    <w:p w:rsidR="00DC4526" w:rsidRPr="00B7604A" w:rsidRDefault="00DC4526" w:rsidP="007F450C">
      <w:pPr>
        <w:ind w:firstLine="720"/>
        <w:jc w:val="both"/>
        <w:rPr>
          <w:rFonts w:eastAsia="Times New Roman"/>
          <w:bCs/>
          <w:iCs/>
          <w:szCs w:val="28"/>
          <w:lang w:val="pt-BR"/>
        </w:rPr>
      </w:pPr>
      <w:r w:rsidRPr="00B7604A">
        <w:rPr>
          <w:rFonts w:eastAsia="Times New Roman"/>
          <w:bCs/>
          <w:i/>
          <w:iCs/>
          <w:szCs w:val="28"/>
        </w:rPr>
        <w:t>- Về thời gian áp dụng:</w:t>
      </w:r>
      <w:r w:rsidRPr="00B7604A">
        <w:rPr>
          <w:rFonts w:eastAsia="Times New Roman"/>
          <w:bCs/>
          <w:iCs/>
          <w:szCs w:val="28"/>
        </w:rPr>
        <w:t xml:space="preserve"> </w:t>
      </w:r>
      <w:r w:rsidRPr="00B7604A">
        <w:rPr>
          <w:rFonts w:eastAsia="Times New Roman"/>
          <w:bCs/>
          <w:iCs/>
          <w:szCs w:val="28"/>
          <w:lang w:val="pt-BR"/>
        </w:rPr>
        <w:t>Từ ngày 01/01/2025 đến hết ngày 3</w:t>
      </w:r>
      <w:r w:rsidR="00572BB9" w:rsidRPr="00B7604A">
        <w:rPr>
          <w:rFonts w:eastAsia="Times New Roman"/>
          <w:bCs/>
          <w:iCs/>
          <w:szCs w:val="28"/>
          <w:lang w:val="pt-BR"/>
        </w:rPr>
        <w:t>0</w:t>
      </w:r>
      <w:r w:rsidRPr="00B7604A">
        <w:rPr>
          <w:rFonts w:eastAsia="Times New Roman"/>
          <w:bCs/>
          <w:iCs/>
          <w:szCs w:val="28"/>
          <w:lang w:val="pt-BR"/>
        </w:rPr>
        <w:t>/</w:t>
      </w:r>
      <w:r w:rsidR="00572BB9" w:rsidRPr="00B7604A">
        <w:rPr>
          <w:rFonts w:eastAsia="Times New Roman"/>
          <w:bCs/>
          <w:iCs/>
          <w:szCs w:val="28"/>
          <w:lang w:val="pt-BR"/>
        </w:rPr>
        <w:t>6</w:t>
      </w:r>
      <w:r w:rsidRPr="00B7604A">
        <w:rPr>
          <w:rFonts w:eastAsia="Times New Roman"/>
          <w:bCs/>
          <w:iCs/>
          <w:szCs w:val="28"/>
          <w:lang w:val="pt-BR"/>
        </w:rPr>
        <w:t>/2025.</w:t>
      </w:r>
    </w:p>
    <w:p w:rsidR="005B6DEF" w:rsidRPr="009856F1" w:rsidRDefault="00DC4526" w:rsidP="005B6DEF">
      <w:pPr>
        <w:ind w:firstLine="720"/>
        <w:jc w:val="both"/>
        <w:rPr>
          <w:szCs w:val="28"/>
          <w:lang w:val="pt-BR"/>
        </w:rPr>
      </w:pPr>
      <w:r w:rsidRPr="005B6DEF">
        <w:rPr>
          <w:bCs/>
          <w:i/>
          <w:iCs/>
          <w:szCs w:val="28"/>
          <w:lang w:val="sv-SE"/>
        </w:rPr>
        <w:t>- Hình thức thực hiện:</w:t>
      </w:r>
      <w:r w:rsidRPr="005B6DEF">
        <w:rPr>
          <w:bCs/>
          <w:iCs/>
          <w:szCs w:val="28"/>
          <w:lang w:val="sv-SE"/>
        </w:rPr>
        <w:t xml:space="preserve"> </w:t>
      </w:r>
      <w:r w:rsidRPr="005B6DEF">
        <w:rPr>
          <w:szCs w:val="28"/>
          <w:lang w:val="pt-BR"/>
        </w:rPr>
        <w:t>Nghị quyết của Quốc hội</w:t>
      </w:r>
      <w:r w:rsidR="005B6DEF" w:rsidRPr="005B6DEF">
        <w:rPr>
          <w:szCs w:val="28"/>
          <w:lang w:val="pt-BR"/>
        </w:rPr>
        <w:t xml:space="preserve"> (tương tự như đã được Quốc hội thông qua tại </w:t>
      </w:r>
      <w:r w:rsidR="005B6DEF" w:rsidRPr="005B6DEF">
        <w:rPr>
          <w:bCs/>
          <w:iCs/>
          <w:szCs w:val="28"/>
          <w:lang w:val="pt-BR"/>
        </w:rPr>
        <w:t>Nghị quyết số 101/2023/QH15</w:t>
      </w:r>
      <w:r w:rsidR="005B6DEF">
        <w:rPr>
          <w:bCs/>
          <w:iCs/>
          <w:szCs w:val="28"/>
          <w:lang w:val="pt-BR"/>
        </w:rPr>
        <w:t>,</w:t>
      </w:r>
      <w:r w:rsidR="005B6DEF" w:rsidRPr="009856F1">
        <w:rPr>
          <w:bCs/>
          <w:iCs/>
          <w:szCs w:val="28"/>
          <w:lang w:val="pt-BR"/>
        </w:rPr>
        <w:t xml:space="preserve"> Nghị quyết số 110/2023/QH15</w:t>
      </w:r>
      <w:r w:rsidR="005B6DEF">
        <w:rPr>
          <w:bCs/>
          <w:iCs/>
          <w:szCs w:val="28"/>
          <w:lang w:val="pt-BR"/>
        </w:rPr>
        <w:t xml:space="preserve"> và Nghị quyết số 142/2024/QH15</w:t>
      </w:r>
      <w:r w:rsidR="005B6DEF" w:rsidRPr="009856F1">
        <w:rPr>
          <w:szCs w:val="28"/>
          <w:lang w:val="pt-BR"/>
        </w:rPr>
        <w:t xml:space="preserve">). </w:t>
      </w:r>
    </w:p>
    <w:p w:rsidR="005B6DEF" w:rsidRPr="009856F1" w:rsidRDefault="005B6DEF" w:rsidP="005B6DEF">
      <w:pPr>
        <w:ind w:firstLine="720"/>
        <w:jc w:val="both"/>
        <w:rPr>
          <w:bCs/>
          <w:iCs/>
          <w:szCs w:val="28"/>
          <w:lang w:val="pt-BR"/>
        </w:rPr>
      </w:pPr>
      <w:r w:rsidRPr="009856F1">
        <w:rPr>
          <w:bCs/>
          <w:iCs/>
          <w:szCs w:val="28"/>
          <w:lang w:val="pt-BR"/>
        </w:rPr>
        <w:t>Thực hiện theo phương án này nhằm thực hiện mục tiêu kích cầu tiêu dùng, phù hợp với bối cảnh kinh tế hiện nay, qua đó góp phần thúc đẩy hoạt động sản xuất kinh doanh</w:t>
      </w:r>
      <w:r w:rsidR="00E3761D">
        <w:rPr>
          <w:bCs/>
          <w:iCs/>
          <w:szCs w:val="28"/>
          <w:lang w:val="pt-BR"/>
        </w:rPr>
        <w:t xml:space="preserve"> phục hồi,</w:t>
      </w:r>
      <w:r w:rsidRPr="009856F1">
        <w:rPr>
          <w:bCs/>
          <w:iCs/>
          <w:szCs w:val="28"/>
          <w:lang w:val="pt-BR"/>
        </w:rPr>
        <w:t xml:space="preserve"> </w:t>
      </w:r>
      <w:r w:rsidR="00874F49">
        <w:rPr>
          <w:bCs/>
          <w:iCs/>
          <w:szCs w:val="28"/>
          <w:lang w:val="pt-BR"/>
        </w:rPr>
        <w:t>tăng trưởng</w:t>
      </w:r>
      <w:r w:rsidRPr="009856F1">
        <w:rPr>
          <w:bCs/>
          <w:iCs/>
          <w:szCs w:val="28"/>
          <w:lang w:val="pt-BR"/>
        </w:rPr>
        <w:t xml:space="preserve"> để đóng góp trở lại cho NSNN cũng như nền kinh tế.</w:t>
      </w:r>
    </w:p>
    <w:p w:rsidR="00BF17D0" w:rsidRPr="005C0198" w:rsidRDefault="00BF17D0" w:rsidP="00BF17D0">
      <w:pPr>
        <w:ind w:firstLine="720"/>
        <w:jc w:val="both"/>
        <w:rPr>
          <w:b/>
          <w:bCs/>
          <w:iCs/>
          <w:szCs w:val="28"/>
          <w:lang w:val="nl-NL"/>
        </w:rPr>
      </w:pPr>
      <w:r w:rsidRPr="005C0198">
        <w:rPr>
          <w:b/>
          <w:bCs/>
          <w:iCs/>
          <w:szCs w:val="28"/>
          <w:lang w:val="nl-NL"/>
        </w:rPr>
        <w:t>1. Bố cục của dự thảo Nghị quyết</w:t>
      </w:r>
    </w:p>
    <w:p w:rsidR="00BF17D0" w:rsidRPr="005C0198" w:rsidRDefault="00BF17D0" w:rsidP="00BF17D0">
      <w:pPr>
        <w:ind w:firstLine="720"/>
        <w:jc w:val="both"/>
        <w:rPr>
          <w:bCs/>
          <w:iCs/>
          <w:szCs w:val="28"/>
          <w:lang w:val="nl-NL"/>
        </w:rPr>
      </w:pPr>
      <w:r w:rsidRPr="005C0198">
        <w:rPr>
          <w:bCs/>
          <w:iCs/>
          <w:szCs w:val="28"/>
          <w:lang w:val="nl-NL"/>
        </w:rPr>
        <w:t>Bố cục dự thảo Nghị quyết gồm 2 Điều:</w:t>
      </w:r>
    </w:p>
    <w:p w:rsidR="00BF17D0" w:rsidRPr="005C0198" w:rsidRDefault="00BF17D0" w:rsidP="00BF17D0">
      <w:pPr>
        <w:ind w:firstLine="720"/>
        <w:jc w:val="both"/>
        <w:rPr>
          <w:bCs/>
          <w:iCs/>
          <w:szCs w:val="28"/>
          <w:lang w:val="sv-SE"/>
        </w:rPr>
      </w:pPr>
      <w:r w:rsidRPr="005C0198">
        <w:rPr>
          <w:bCs/>
          <w:iCs/>
          <w:szCs w:val="28"/>
          <w:lang w:val="nl-NL"/>
        </w:rPr>
        <w:t xml:space="preserve">- Điều 1: </w:t>
      </w:r>
      <w:r w:rsidRPr="005C0198">
        <w:rPr>
          <w:bCs/>
          <w:iCs/>
          <w:szCs w:val="28"/>
          <w:lang w:val="sv-SE"/>
        </w:rPr>
        <w:t>Điều chỉnh giảm thuế suất thuế GTGT đối với hàng hoá, dịch vụ thuộc đối tượng chịu thuế suất 10%.</w:t>
      </w:r>
    </w:p>
    <w:p w:rsidR="00BF17D0" w:rsidRPr="005C0198" w:rsidRDefault="00BF17D0" w:rsidP="00BF17D0">
      <w:pPr>
        <w:ind w:firstLine="720"/>
        <w:jc w:val="both"/>
        <w:rPr>
          <w:b/>
          <w:bCs/>
          <w:iCs/>
          <w:szCs w:val="28"/>
          <w:lang w:val="sv-SE"/>
        </w:rPr>
      </w:pPr>
      <w:r w:rsidRPr="005C0198">
        <w:rPr>
          <w:bCs/>
          <w:iCs/>
          <w:szCs w:val="28"/>
          <w:lang w:val="nl-NL"/>
        </w:rPr>
        <w:t>- Điều 2: Quy định về hiệu lực thi hành.</w:t>
      </w:r>
    </w:p>
    <w:p w:rsidR="002B22F6" w:rsidRPr="009856F1" w:rsidRDefault="002B22F6" w:rsidP="002B22F6">
      <w:pPr>
        <w:ind w:firstLine="720"/>
        <w:jc w:val="both"/>
        <w:rPr>
          <w:b/>
          <w:bCs/>
          <w:iCs/>
          <w:szCs w:val="28"/>
          <w:lang w:val="nl-NL"/>
        </w:rPr>
      </w:pPr>
      <w:r w:rsidRPr="009856F1">
        <w:rPr>
          <w:b/>
          <w:bCs/>
          <w:iCs/>
          <w:szCs w:val="28"/>
          <w:lang w:val="nl-NL"/>
        </w:rPr>
        <w:t>2. Nội dung của dự thảo Nghị quyết</w:t>
      </w:r>
    </w:p>
    <w:p w:rsidR="002B22F6" w:rsidRPr="009856F1" w:rsidRDefault="002B22F6" w:rsidP="002B22F6">
      <w:pPr>
        <w:ind w:firstLine="720"/>
        <w:jc w:val="both"/>
        <w:rPr>
          <w:szCs w:val="28"/>
          <w:lang w:val="nl-NL"/>
        </w:rPr>
      </w:pPr>
      <w:r w:rsidRPr="009856F1">
        <w:rPr>
          <w:bCs/>
          <w:iCs/>
          <w:szCs w:val="28"/>
          <w:lang w:val="nl-NL"/>
        </w:rPr>
        <w:t>“</w:t>
      </w:r>
      <w:r w:rsidRPr="009856F1">
        <w:rPr>
          <w:b/>
          <w:szCs w:val="28"/>
          <w:lang w:val="nl-NL"/>
        </w:rPr>
        <w:t>Điều 1</w:t>
      </w:r>
      <w:r w:rsidRPr="009856F1">
        <w:rPr>
          <w:szCs w:val="28"/>
          <w:lang w:val="nl-NL"/>
        </w:rPr>
        <w:t xml:space="preserve">. </w:t>
      </w:r>
      <w:r w:rsidRPr="009856F1">
        <w:rPr>
          <w:b/>
          <w:szCs w:val="28"/>
          <w:lang w:val="nl-NL"/>
        </w:rPr>
        <w:t>Phạm vi áp dụng</w:t>
      </w:r>
    </w:p>
    <w:p w:rsidR="00710BE5" w:rsidRPr="00710BE5" w:rsidRDefault="002B22F6" w:rsidP="002B22F6">
      <w:pPr>
        <w:ind w:firstLine="720"/>
        <w:jc w:val="both"/>
        <w:rPr>
          <w:szCs w:val="28"/>
          <w:lang w:val="pt-BR"/>
        </w:rPr>
      </w:pPr>
      <w:r w:rsidRPr="009856F1">
        <w:rPr>
          <w:szCs w:val="28"/>
          <w:lang w:val="sv-SE"/>
        </w:rPr>
        <w:t xml:space="preserve">1. </w:t>
      </w:r>
      <w:r w:rsidRPr="009856F1">
        <w:rPr>
          <w:bCs/>
          <w:iCs/>
          <w:szCs w:val="28"/>
          <w:lang w:val="nl-NL"/>
        </w:rPr>
        <w:t>G</w:t>
      </w:r>
      <w:r w:rsidRPr="009856F1">
        <w:rPr>
          <w:szCs w:val="28"/>
          <w:lang w:val="pt-BR"/>
        </w:rPr>
        <w:t xml:space="preserve">iảm 2% thuế </w:t>
      </w:r>
      <w:r w:rsidRPr="009856F1">
        <w:rPr>
          <w:bCs/>
          <w:iCs/>
          <w:szCs w:val="28"/>
          <w:lang w:val="nl-NL"/>
        </w:rPr>
        <w:t xml:space="preserve">suất thuế </w:t>
      </w:r>
      <w:r w:rsidRPr="009856F1">
        <w:rPr>
          <w:szCs w:val="28"/>
          <w:lang w:val="pt-BR"/>
        </w:rPr>
        <w:t xml:space="preserve">giá trị gia tăng, áp dụng đối với các nhóm hàng hóa, dịch </w:t>
      </w:r>
      <w:r w:rsidRPr="00710BE5">
        <w:rPr>
          <w:szCs w:val="28"/>
          <w:lang w:val="pt-BR"/>
        </w:rPr>
        <w:t>vụ đang áp dụng mức thuế suất 10% (còn 8%)</w:t>
      </w:r>
      <w:r w:rsidRPr="00710BE5">
        <w:rPr>
          <w:bCs/>
          <w:iCs/>
          <w:szCs w:val="28"/>
          <w:lang w:val="nl-NL"/>
        </w:rPr>
        <w:t xml:space="preserve">, </w:t>
      </w:r>
      <w:r w:rsidRPr="00710BE5">
        <w:rPr>
          <w:szCs w:val="28"/>
          <w:lang w:val="pt-BR"/>
        </w:rPr>
        <w:t xml:space="preserve">trừ một số nhóm hàng hóa, dịch vụ sau: </w:t>
      </w:r>
      <w:r w:rsidR="00710BE5" w:rsidRPr="00710BE5">
        <w:rPr>
          <w:szCs w:val="28"/>
          <w:lang w:val="pt-BR"/>
        </w:rPr>
        <w:t>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rsidR="002B22F6" w:rsidRPr="009856F1" w:rsidRDefault="002B22F6" w:rsidP="002B22F6">
      <w:pPr>
        <w:ind w:firstLine="720"/>
        <w:jc w:val="both"/>
        <w:rPr>
          <w:szCs w:val="28"/>
          <w:lang w:val="sv-SE"/>
        </w:rPr>
      </w:pPr>
      <w:bookmarkStart w:id="0" w:name="bookmark8"/>
      <w:r w:rsidRPr="009856F1">
        <w:rPr>
          <w:szCs w:val="28"/>
          <w:lang w:val="sv-SE"/>
        </w:rPr>
        <w:t>2</w:t>
      </w:r>
      <w:bookmarkEnd w:id="0"/>
      <w:r w:rsidRPr="009856F1">
        <w:rPr>
          <w:szCs w:val="28"/>
          <w:lang w:val="sv-SE"/>
        </w:rPr>
        <w:t>. Thời gian áp dụng giảm thuế giá trị gia tăng 2% quy định tại khoản 1 Điều này từ ngày 01 tháng 0</w:t>
      </w:r>
      <w:r>
        <w:rPr>
          <w:szCs w:val="28"/>
          <w:lang w:val="sv-SE"/>
        </w:rPr>
        <w:t>1</w:t>
      </w:r>
      <w:r w:rsidRPr="009856F1">
        <w:rPr>
          <w:szCs w:val="28"/>
          <w:lang w:val="sv-SE"/>
        </w:rPr>
        <w:t xml:space="preserve"> năm 202</w:t>
      </w:r>
      <w:r>
        <w:rPr>
          <w:szCs w:val="28"/>
          <w:lang w:val="sv-SE"/>
        </w:rPr>
        <w:t>5</w:t>
      </w:r>
      <w:r w:rsidRPr="009856F1">
        <w:rPr>
          <w:szCs w:val="28"/>
          <w:lang w:val="sv-SE"/>
        </w:rPr>
        <w:t xml:space="preserve"> đến hết ngày </w:t>
      </w:r>
      <w:r>
        <w:rPr>
          <w:szCs w:val="28"/>
          <w:lang w:val="sv-SE"/>
        </w:rPr>
        <w:t>30</w:t>
      </w:r>
      <w:r w:rsidRPr="009856F1">
        <w:rPr>
          <w:szCs w:val="28"/>
          <w:lang w:val="sv-SE"/>
        </w:rPr>
        <w:t xml:space="preserve"> tháng </w:t>
      </w:r>
      <w:r>
        <w:rPr>
          <w:szCs w:val="28"/>
          <w:lang w:val="sv-SE"/>
        </w:rPr>
        <w:t>6</w:t>
      </w:r>
      <w:r w:rsidRPr="009856F1">
        <w:rPr>
          <w:szCs w:val="28"/>
          <w:lang w:val="sv-SE"/>
        </w:rPr>
        <w:t xml:space="preserve"> năm 202</w:t>
      </w:r>
      <w:r>
        <w:rPr>
          <w:szCs w:val="28"/>
          <w:lang w:val="sv-SE"/>
        </w:rPr>
        <w:t>5</w:t>
      </w:r>
      <w:r w:rsidRPr="009856F1">
        <w:rPr>
          <w:szCs w:val="28"/>
          <w:lang w:val="sv-SE"/>
        </w:rPr>
        <w:t>.</w:t>
      </w:r>
    </w:p>
    <w:p w:rsidR="002B22F6" w:rsidRPr="009856F1" w:rsidRDefault="002B22F6" w:rsidP="002B22F6">
      <w:pPr>
        <w:ind w:firstLine="720"/>
        <w:jc w:val="both"/>
        <w:rPr>
          <w:szCs w:val="28"/>
          <w:lang w:val="nl-NL"/>
        </w:rPr>
      </w:pPr>
      <w:r w:rsidRPr="009856F1">
        <w:rPr>
          <w:b/>
          <w:szCs w:val="28"/>
          <w:lang w:val="nl-NL"/>
        </w:rPr>
        <w:t>Điều 2</w:t>
      </w:r>
      <w:r w:rsidRPr="009856F1">
        <w:rPr>
          <w:szCs w:val="28"/>
          <w:lang w:val="nl-NL"/>
        </w:rPr>
        <w:t xml:space="preserve">. </w:t>
      </w:r>
      <w:r w:rsidRPr="009856F1">
        <w:rPr>
          <w:b/>
          <w:szCs w:val="28"/>
          <w:lang w:val="nl-NL"/>
        </w:rPr>
        <w:t>Hiệu lực thi hành và tổ chức thực hiện</w:t>
      </w:r>
    </w:p>
    <w:p w:rsidR="002B22F6" w:rsidRPr="009856F1" w:rsidRDefault="002B22F6" w:rsidP="002B22F6">
      <w:pPr>
        <w:ind w:firstLine="720"/>
        <w:jc w:val="both"/>
        <w:rPr>
          <w:szCs w:val="28"/>
          <w:lang w:val="nl-NL"/>
        </w:rPr>
      </w:pPr>
      <w:r w:rsidRPr="009856F1">
        <w:rPr>
          <w:szCs w:val="28"/>
          <w:lang w:val="nl-NL"/>
        </w:rPr>
        <w:t>1. Nghị quyết này có hiệu lực thi hành kể từ ngày     tháng    năm      .</w:t>
      </w:r>
    </w:p>
    <w:p w:rsidR="002B22F6" w:rsidRDefault="002B22F6" w:rsidP="002B22F6">
      <w:pPr>
        <w:ind w:firstLine="720"/>
        <w:jc w:val="both"/>
        <w:rPr>
          <w:bCs/>
          <w:iCs/>
          <w:szCs w:val="28"/>
          <w:lang w:val="nl-NL"/>
        </w:rPr>
      </w:pPr>
      <w:r w:rsidRPr="009856F1">
        <w:rPr>
          <w:szCs w:val="28"/>
          <w:lang w:val="nl-NL"/>
        </w:rPr>
        <w:t>2. Giao Chính phủ quy định chi tiết Điều 1 và triển khai thực hiện Nghị quyết này.</w:t>
      </w:r>
      <w:r w:rsidRPr="009856F1">
        <w:rPr>
          <w:bCs/>
          <w:iCs/>
          <w:szCs w:val="28"/>
          <w:lang w:val="nl-NL"/>
        </w:rPr>
        <w:t>”.</w:t>
      </w:r>
    </w:p>
    <w:p w:rsidR="00700424" w:rsidRDefault="00700424" w:rsidP="002B22F6">
      <w:pPr>
        <w:ind w:firstLine="720"/>
        <w:jc w:val="both"/>
        <w:rPr>
          <w:bCs/>
          <w:iCs/>
          <w:szCs w:val="28"/>
          <w:lang w:val="nl-NL"/>
        </w:rPr>
      </w:pPr>
    </w:p>
    <w:p w:rsidR="000A0B82" w:rsidRPr="000A0B82" w:rsidRDefault="000A0B82" w:rsidP="000A0B82">
      <w:pPr>
        <w:ind w:firstLine="720"/>
        <w:jc w:val="both"/>
        <w:rPr>
          <w:b/>
          <w:szCs w:val="28"/>
          <w:highlight w:val="yellow"/>
          <w:lang w:val="nl-NL"/>
        </w:rPr>
      </w:pPr>
      <w:r w:rsidRPr="0010405B">
        <w:rPr>
          <w:b/>
          <w:bCs/>
          <w:iCs/>
          <w:szCs w:val="28"/>
          <w:lang w:val="en-US"/>
        </w:rPr>
        <w:lastRenderedPageBreak/>
        <w:t xml:space="preserve">3. </w:t>
      </w:r>
      <w:r w:rsidRPr="0010405B">
        <w:rPr>
          <w:b/>
          <w:bCs/>
          <w:iCs/>
          <w:szCs w:val="28"/>
        </w:rPr>
        <w:t>Đánh giá tác động</w:t>
      </w:r>
      <w:r w:rsidRPr="0010405B">
        <w:rPr>
          <w:b/>
          <w:bCs/>
          <w:iCs/>
          <w:szCs w:val="28"/>
          <w:lang w:val="en-US"/>
        </w:rPr>
        <w:t xml:space="preserve"> của </w:t>
      </w:r>
      <w:r w:rsidRPr="0010405B">
        <w:rPr>
          <w:b/>
          <w:szCs w:val="28"/>
          <w:lang w:val="nl-NL"/>
        </w:rPr>
        <w:t>dự thảo Nghị quyết</w:t>
      </w:r>
    </w:p>
    <w:p w:rsidR="000E6691" w:rsidRPr="000E6691" w:rsidRDefault="000E6691" w:rsidP="000A0B82">
      <w:pPr>
        <w:ind w:firstLine="720"/>
        <w:jc w:val="both"/>
        <w:rPr>
          <w:szCs w:val="28"/>
          <w:highlight w:val="yellow"/>
          <w:lang w:val="nl-NL"/>
        </w:rPr>
      </w:pPr>
      <w:r w:rsidRPr="000E6691">
        <w:rPr>
          <w:b/>
          <w:bCs/>
          <w:i/>
          <w:iCs/>
          <w:szCs w:val="28"/>
          <w:lang w:val="nl-NL"/>
        </w:rPr>
        <w:t>a</w:t>
      </w:r>
      <w:r w:rsidR="000A0B82" w:rsidRPr="000E6691">
        <w:rPr>
          <w:b/>
          <w:bCs/>
          <w:i/>
          <w:iCs/>
          <w:szCs w:val="28"/>
          <w:lang w:val="nl-NL"/>
        </w:rPr>
        <w:t xml:space="preserve">) </w:t>
      </w:r>
      <w:r w:rsidR="000A0B82" w:rsidRPr="000E6691">
        <w:rPr>
          <w:b/>
          <w:i/>
          <w:szCs w:val="28"/>
          <w:lang w:val="nl-NL"/>
        </w:rPr>
        <w:t xml:space="preserve">Tác động đến </w:t>
      </w:r>
      <w:r w:rsidRPr="000E6691">
        <w:rPr>
          <w:b/>
          <w:i/>
          <w:szCs w:val="28"/>
          <w:lang w:val="nl-NL"/>
        </w:rPr>
        <w:t>thu NSNN</w:t>
      </w:r>
    </w:p>
    <w:p w:rsidR="00B7604A" w:rsidRPr="00B7604A" w:rsidRDefault="00B7604A" w:rsidP="00B7604A">
      <w:pPr>
        <w:ind w:firstLine="720"/>
        <w:jc w:val="both"/>
        <w:rPr>
          <w:iCs/>
          <w:szCs w:val="28"/>
          <w:lang w:val="en-US"/>
        </w:rPr>
      </w:pPr>
      <w:r w:rsidRPr="00B7604A">
        <w:rPr>
          <w:iCs/>
          <w:szCs w:val="28"/>
          <w:lang w:val="en-US"/>
        </w:rPr>
        <w:t>D</w:t>
      </w:r>
      <w:r w:rsidRPr="00B7604A">
        <w:rPr>
          <w:bCs/>
          <w:iCs/>
          <w:szCs w:val="28"/>
          <w:lang w:val="sv-SE"/>
        </w:rPr>
        <w:t>ự kiến số giảm thu NSNN trong 6 tháng đầu năm 2025 tương đương</w:t>
      </w:r>
      <w:r w:rsidRPr="00B7604A">
        <w:rPr>
          <w:b/>
          <w:bCs/>
          <w:iCs/>
          <w:szCs w:val="28"/>
          <w:lang w:val="sv-SE"/>
        </w:rPr>
        <w:t xml:space="preserve"> </w:t>
      </w:r>
      <w:r w:rsidRPr="00B7604A">
        <w:rPr>
          <w:bCs/>
          <w:iCs/>
          <w:szCs w:val="28"/>
          <w:lang w:val="sv-SE"/>
        </w:rPr>
        <w:t>khoảng</w:t>
      </w:r>
      <w:r w:rsidRPr="00B7604A">
        <w:rPr>
          <w:b/>
          <w:bCs/>
          <w:iCs/>
          <w:szCs w:val="28"/>
          <w:lang w:val="sv-SE"/>
        </w:rPr>
        <w:t xml:space="preserve"> 26,1 nghìn tỷ đồng </w:t>
      </w:r>
      <w:r w:rsidRPr="00B7604A">
        <w:rPr>
          <w:bCs/>
          <w:iCs/>
          <w:szCs w:val="28"/>
          <w:lang w:val="sv-SE"/>
        </w:rPr>
        <w:t xml:space="preserve">(khoảng 4,35 nghìn tỷ đồng/tháng trong đó giảm </w:t>
      </w:r>
      <w:r w:rsidRPr="00B7604A">
        <w:rPr>
          <w:bCs/>
          <w:iCs/>
          <w:szCs w:val="28"/>
          <w:lang w:val="en-US"/>
        </w:rPr>
        <w:t xml:space="preserve">ở khâu nội địa </w:t>
      </w:r>
      <w:r w:rsidR="00A51A53">
        <w:rPr>
          <w:bCs/>
          <w:iCs/>
          <w:szCs w:val="28"/>
          <w:lang w:val="en-US"/>
        </w:rPr>
        <w:t>k</w:t>
      </w:r>
      <w:r w:rsidR="00DF6D16">
        <w:rPr>
          <w:bCs/>
          <w:iCs/>
          <w:szCs w:val="28"/>
          <w:lang w:val="en-US"/>
        </w:rPr>
        <w:t>hoảng</w:t>
      </w:r>
      <w:r w:rsidRPr="00B7604A">
        <w:rPr>
          <w:bCs/>
          <w:iCs/>
          <w:szCs w:val="28"/>
          <w:lang w:val="en-US"/>
        </w:rPr>
        <w:t xml:space="preserve"> </w:t>
      </w:r>
      <w:r w:rsidRPr="00B7604A">
        <w:rPr>
          <w:bCs/>
          <w:iCs/>
          <w:szCs w:val="28"/>
        </w:rPr>
        <w:t>2</w:t>
      </w:r>
      <w:r w:rsidRPr="00B7604A">
        <w:rPr>
          <w:bCs/>
          <w:iCs/>
          <w:szCs w:val="28"/>
          <w:lang w:val="en-US"/>
        </w:rPr>
        <w:t>,85</w:t>
      </w:r>
      <w:r w:rsidRPr="00B7604A">
        <w:rPr>
          <w:bCs/>
          <w:iCs/>
          <w:szCs w:val="28"/>
        </w:rPr>
        <w:t xml:space="preserve"> </w:t>
      </w:r>
      <w:r w:rsidRPr="00B7604A">
        <w:rPr>
          <w:bCs/>
          <w:iCs/>
          <w:szCs w:val="28"/>
          <w:lang w:val="en-US"/>
        </w:rPr>
        <w:t xml:space="preserve">nghìn </w:t>
      </w:r>
      <w:r w:rsidRPr="00B7604A">
        <w:rPr>
          <w:bCs/>
          <w:iCs/>
          <w:szCs w:val="28"/>
        </w:rPr>
        <w:t>tỷ đồng</w:t>
      </w:r>
      <w:r w:rsidR="00571ED5" w:rsidRPr="00B7604A">
        <w:rPr>
          <w:bCs/>
          <w:iCs/>
          <w:szCs w:val="28"/>
          <w:lang w:val="en-US"/>
        </w:rPr>
        <w:t>/tháng</w:t>
      </w:r>
      <w:r w:rsidRPr="00B7604A">
        <w:rPr>
          <w:bCs/>
          <w:iCs/>
          <w:szCs w:val="28"/>
          <w:lang w:val="en-US"/>
        </w:rPr>
        <w:t xml:space="preserve"> và giảm ở khâu nhập khẩu khoảng 1,5 nghìn tỷ đồng/tháng). </w:t>
      </w:r>
    </w:p>
    <w:p w:rsidR="000E6691" w:rsidRPr="000E6691" w:rsidRDefault="00B7604A" w:rsidP="00B7604A">
      <w:pPr>
        <w:ind w:firstLine="720"/>
        <w:jc w:val="both"/>
        <w:rPr>
          <w:bCs/>
          <w:iCs/>
          <w:szCs w:val="28"/>
          <w:highlight w:val="yellow"/>
          <w:lang w:val="sv-SE"/>
        </w:rPr>
      </w:pPr>
      <w:r w:rsidRPr="00B7604A">
        <w:rPr>
          <w:iCs/>
          <w:szCs w:val="28"/>
          <w:lang w:val="en-US"/>
        </w:rPr>
        <w:t>N</w:t>
      </w:r>
      <w:r w:rsidRPr="00B7604A">
        <w:rPr>
          <w:iCs/>
          <w:szCs w:val="28"/>
        </w:rPr>
        <w:t xml:space="preserve">ăm 2024, số thuế GTGT được giảm theo Nghị quyết số 110/2023/QH15 </w:t>
      </w:r>
      <w:r w:rsidRPr="00B7604A">
        <w:rPr>
          <w:iCs/>
          <w:szCs w:val="28"/>
          <w:lang w:val="en-US"/>
        </w:rPr>
        <w:t xml:space="preserve">và Nghị quyết số 142/2024/QH15 ước </w:t>
      </w:r>
      <w:r w:rsidRPr="00B7604A">
        <w:rPr>
          <w:iCs/>
          <w:szCs w:val="28"/>
        </w:rPr>
        <w:t xml:space="preserve">khoảng </w:t>
      </w:r>
      <w:r w:rsidRPr="00B7604A">
        <w:rPr>
          <w:bCs/>
          <w:iCs/>
          <w:szCs w:val="28"/>
          <w:lang w:val="en-US"/>
        </w:rPr>
        <w:t>49</w:t>
      </w:r>
      <w:r w:rsidRPr="00B7604A">
        <w:rPr>
          <w:bCs/>
          <w:iCs/>
          <w:szCs w:val="28"/>
        </w:rPr>
        <w:t xml:space="preserve"> nghìn tỷ đồng</w:t>
      </w:r>
      <w:r w:rsidRPr="00B7604A">
        <w:rPr>
          <w:iCs/>
          <w:szCs w:val="28"/>
        </w:rPr>
        <w:t>.</w:t>
      </w:r>
      <w:r w:rsidR="000E6691" w:rsidRPr="000E6691">
        <w:rPr>
          <w:bCs/>
          <w:iCs/>
          <w:szCs w:val="28"/>
          <w:highlight w:val="yellow"/>
          <w:lang w:val="sv-SE"/>
        </w:rPr>
        <w:t xml:space="preserve"> </w:t>
      </w:r>
    </w:p>
    <w:p w:rsidR="000E6691" w:rsidRPr="002A6992" w:rsidRDefault="000E6691" w:rsidP="000E6691">
      <w:pPr>
        <w:ind w:firstLine="720"/>
        <w:jc w:val="both"/>
        <w:rPr>
          <w:szCs w:val="28"/>
          <w:lang w:val="en-US"/>
        </w:rPr>
      </w:pPr>
      <w:r w:rsidRPr="002A6992">
        <w:rPr>
          <w:szCs w:val="28"/>
          <w:lang w:val="en-US"/>
        </w:rPr>
        <w:t>Việc giảm thuế GTGT tác động làm giảm thu NSNN nhưng cũng có tác động kích thích sản xuất, thúc đẩy hoạt động sản xuất kinh doanh, qua đó cũng góp phần tạo thêm nguồn thu cho NSNN.</w:t>
      </w:r>
    </w:p>
    <w:p w:rsidR="000E6691" w:rsidRPr="002A6992" w:rsidRDefault="000E6691" w:rsidP="000E6691">
      <w:pPr>
        <w:ind w:firstLine="720"/>
        <w:jc w:val="both"/>
        <w:rPr>
          <w:szCs w:val="28"/>
          <w:lang w:val="en-US"/>
        </w:rPr>
      </w:pPr>
      <w:r w:rsidRPr="002A6992">
        <w:rPr>
          <w:szCs w:val="28"/>
          <w:lang w:val="en-US"/>
        </w:rPr>
        <w:t xml:space="preserve">Dự </w:t>
      </w:r>
      <w:r w:rsidRPr="002A6992">
        <w:rPr>
          <w:szCs w:val="28"/>
        </w:rPr>
        <w:t xml:space="preserve">toán thu NSNN năm 2024 là 1.701 nghìn tỷ đồng. Cập nhật đến hết </w:t>
      </w:r>
      <w:r w:rsidRPr="002A6992">
        <w:rPr>
          <w:szCs w:val="28"/>
          <w:lang w:val="en-US"/>
        </w:rPr>
        <w:t xml:space="preserve">ngày 14 </w:t>
      </w:r>
      <w:r w:rsidRPr="002A6992">
        <w:rPr>
          <w:szCs w:val="28"/>
        </w:rPr>
        <w:t xml:space="preserve">tháng </w:t>
      </w:r>
      <w:r w:rsidRPr="002A6992">
        <w:rPr>
          <w:szCs w:val="28"/>
          <w:lang w:val="en-US"/>
        </w:rPr>
        <w:t>11</w:t>
      </w:r>
      <w:r w:rsidRPr="002A6992">
        <w:rPr>
          <w:szCs w:val="28"/>
        </w:rPr>
        <w:t xml:space="preserve">, theo báo cáo của Kho bạc Nhà nước, số thực hiện thu NSNN là </w:t>
      </w:r>
      <w:r w:rsidRPr="002A6992">
        <w:rPr>
          <w:szCs w:val="28"/>
          <w:lang w:val="en-US"/>
        </w:rPr>
        <w:t>1.708,4</w:t>
      </w:r>
      <w:r w:rsidRPr="002A6992">
        <w:rPr>
          <w:szCs w:val="28"/>
        </w:rPr>
        <w:t xml:space="preserve"> nghìn tỷ đồng, bằng </w:t>
      </w:r>
      <w:r w:rsidRPr="002A6992">
        <w:rPr>
          <w:szCs w:val="28"/>
          <w:lang w:val="en-US"/>
        </w:rPr>
        <w:t>100,4</w:t>
      </w:r>
      <w:r w:rsidRPr="002A6992">
        <w:rPr>
          <w:szCs w:val="28"/>
        </w:rPr>
        <w:t>% dự toán</w:t>
      </w:r>
      <w:r w:rsidRPr="002A6992">
        <w:rPr>
          <w:szCs w:val="28"/>
          <w:lang w:val="en-US"/>
        </w:rPr>
        <w:t xml:space="preserve"> và tăng 18,3% so với cùng kỳ năm 2023</w:t>
      </w:r>
      <w:r w:rsidRPr="002A6992">
        <w:rPr>
          <w:szCs w:val="28"/>
        </w:rPr>
        <w:t>, trong đó:</w:t>
      </w:r>
    </w:p>
    <w:p w:rsidR="000E6691" w:rsidRPr="002A6992" w:rsidRDefault="0010405B" w:rsidP="000E6691">
      <w:pPr>
        <w:ind w:firstLine="720"/>
        <w:jc w:val="both"/>
        <w:rPr>
          <w:szCs w:val="28"/>
          <w:lang w:val="en-US"/>
        </w:rPr>
      </w:pPr>
      <w:r w:rsidRPr="002A6992">
        <w:rPr>
          <w:szCs w:val="28"/>
          <w:lang w:val="en-US"/>
        </w:rPr>
        <w:t>-</w:t>
      </w:r>
      <w:r w:rsidR="000E6691" w:rsidRPr="002A6992">
        <w:rPr>
          <w:szCs w:val="28"/>
        </w:rPr>
        <w:t xml:space="preserve"> Thu nội địa đạt </w:t>
      </w:r>
      <w:r w:rsidR="000E6691" w:rsidRPr="002A6992">
        <w:rPr>
          <w:szCs w:val="28"/>
          <w:lang w:val="en-US"/>
        </w:rPr>
        <w:t>1.417,1</w:t>
      </w:r>
      <w:r w:rsidR="000E6691" w:rsidRPr="002A6992">
        <w:rPr>
          <w:szCs w:val="28"/>
        </w:rPr>
        <w:t xml:space="preserve"> nghìn tỷ đồng, bằng </w:t>
      </w:r>
      <w:r w:rsidR="000E6691" w:rsidRPr="002A6992">
        <w:rPr>
          <w:szCs w:val="28"/>
          <w:lang w:val="en-US"/>
        </w:rPr>
        <w:t>98,1</w:t>
      </w:r>
      <w:r w:rsidR="000E6691" w:rsidRPr="002A6992">
        <w:rPr>
          <w:szCs w:val="28"/>
        </w:rPr>
        <w:t xml:space="preserve">% dự toán; </w:t>
      </w:r>
    </w:p>
    <w:p w:rsidR="000E6691" w:rsidRPr="002A6992" w:rsidRDefault="0010405B" w:rsidP="000E6691">
      <w:pPr>
        <w:ind w:firstLine="720"/>
        <w:jc w:val="both"/>
        <w:rPr>
          <w:szCs w:val="28"/>
          <w:lang w:val="en-US"/>
        </w:rPr>
      </w:pPr>
      <w:r w:rsidRPr="002A6992">
        <w:rPr>
          <w:szCs w:val="28"/>
          <w:lang w:val="en-US"/>
        </w:rPr>
        <w:t>-</w:t>
      </w:r>
      <w:r w:rsidR="000E6691" w:rsidRPr="002A6992">
        <w:rPr>
          <w:szCs w:val="28"/>
        </w:rPr>
        <w:t xml:space="preserve"> Thu dầu thô đạt </w:t>
      </w:r>
      <w:r w:rsidR="000E6691" w:rsidRPr="002A6992">
        <w:rPr>
          <w:szCs w:val="28"/>
          <w:lang w:val="en-US"/>
        </w:rPr>
        <w:t>50,07</w:t>
      </w:r>
      <w:r w:rsidR="000E6691" w:rsidRPr="002A6992">
        <w:rPr>
          <w:szCs w:val="28"/>
        </w:rPr>
        <w:t xml:space="preserve"> nghìn tỷ đồng, bằng </w:t>
      </w:r>
      <w:r w:rsidR="000E6691" w:rsidRPr="002A6992">
        <w:rPr>
          <w:szCs w:val="28"/>
          <w:lang w:val="en-US"/>
        </w:rPr>
        <w:t>108,9</w:t>
      </w:r>
      <w:r w:rsidR="000E6691" w:rsidRPr="002A6992">
        <w:rPr>
          <w:szCs w:val="28"/>
        </w:rPr>
        <w:t xml:space="preserve">% dự toán; </w:t>
      </w:r>
    </w:p>
    <w:p w:rsidR="000E6691" w:rsidRPr="002A6992" w:rsidRDefault="0010405B" w:rsidP="000E6691">
      <w:pPr>
        <w:ind w:firstLine="720"/>
        <w:jc w:val="both"/>
        <w:rPr>
          <w:szCs w:val="28"/>
          <w:lang w:val="en-US"/>
        </w:rPr>
      </w:pPr>
      <w:r w:rsidRPr="002A6992">
        <w:rPr>
          <w:szCs w:val="28"/>
          <w:lang w:val="en-US"/>
        </w:rPr>
        <w:t>-</w:t>
      </w:r>
      <w:r w:rsidR="000E6691" w:rsidRPr="002A6992">
        <w:rPr>
          <w:szCs w:val="28"/>
        </w:rPr>
        <w:t xml:space="preserve"> Thu cân đối hoạt động xuất nhập khẩu đạt </w:t>
      </w:r>
      <w:r w:rsidR="000E6691" w:rsidRPr="002A6992">
        <w:rPr>
          <w:szCs w:val="28"/>
          <w:lang w:val="en-US"/>
        </w:rPr>
        <w:t>240,5</w:t>
      </w:r>
      <w:r w:rsidR="000E6691" w:rsidRPr="002A6992">
        <w:rPr>
          <w:szCs w:val="28"/>
        </w:rPr>
        <w:t xml:space="preserve"> nghìn tỷ đồng, bằng </w:t>
      </w:r>
      <w:r w:rsidR="000E6691" w:rsidRPr="002A6992">
        <w:rPr>
          <w:szCs w:val="28"/>
          <w:lang w:val="en-US"/>
        </w:rPr>
        <w:t>117,9</w:t>
      </w:r>
      <w:r w:rsidR="000E6691" w:rsidRPr="002A6992">
        <w:rPr>
          <w:szCs w:val="28"/>
        </w:rPr>
        <w:t xml:space="preserve">% dự toán; trên cơ sở tổng thu từ hoạt động xuất nhập khẩu đạt </w:t>
      </w:r>
      <w:r w:rsidR="000E6691" w:rsidRPr="002A6992">
        <w:rPr>
          <w:szCs w:val="28"/>
          <w:lang w:val="en-US"/>
        </w:rPr>
        <w:t>363,5</w:t>
      </w:r>
      <w:r w:rsidR="000E6691" w:rsidRPr="002A6992">
        <w:rPr>
          <w:szCs w:val="28"/>
        </w:rPr>
        <w:t xml:space="preserve"> nghìn tỷ đồng, thực hiện hoàn thuế </w:t>
      </w:r>
      <w:r w:rsidR="0095265C">
        <w:rPr>
          <w:szCs w:val="28"/>
          <w:lang w:val="en-US"/>
        </w:rPr>
        <w:t>GTGT</w:t>
      </w:r>
      <w:r w:rsidR="000E6691" w:rsidRPr="002A6992">
        <w:rPr>
          <w:szCs w:val="28"/>
        </w:rPr>
        <w:t xml:space="preserve"> khoảng </w:t>
      </w:r>
      <w:r w:rsidR="000E6691" w:rsidRPr="002A6992">
        <w:rPr>
          <w:szCs w:val="28"/>
          <w:lang w:val="en-US"/>
        </w:rPr>
        <w:t>123,04</w:t>
      </w:r>
      <w:r w:rsidR="000E6691" w:rsidRPr="002A6992">
        <w:rPr>
          <w:szCs w:val="28"/>
        </w:rPr>
        <w:t xml:space="preserve"> nghìn tỷ đồng.</w:t>
      </w:r>
    </w:p>
    <w:p w:rsidR="000E6691" w:rsidRPr="0010405B" w:rsidRDefault="000E6691" w:rsidP="000E6691">
      <w:pPr>
        <w:ind w:firstLine="720"/>
        <w:jc w:val="both"/>
        <w:rPr>
          <w:szCs w:val="28"/>
          <w:lang w:val="en-US"/>
        </w:rPr>
      </w:pPr>
      <w:r w:rsidRPr="002A6992">
        <w:rPr>
          <w:szCs w:val="28"/>
          <w:lang w:val="en-US"/>
        </w:rPr>
        <w:t xml:space="preserve">Số thu NSNN đạt khá so </w:t>
      </w:r>
      <w:r w:rsidR="0095265C">
        <w:rPr>
          <w:szCs w:val="28"/>
          <w:lang w:val="en-US"/>
        </w:rPr>
        <w:t xml:space="preserve">với </w:t>
      </w:r>
      <w:r w:rsidRPr="002A6992">
        <w:rPr>
          <w:szCs w:val="28"/>
          <w:lang w:val="en-US"/>
        </w:rPr>
        <w:t xml:space="preserve">dự toán và tăng trưởng so cùng kỳ phản ánh tác động của nền kinh tế phục hồi tích cực, các khoản thu trực tiếp từ hoạt động sản xuất kinh doanh (3 khu vực kinh tế) </w:t>
      </w:r>
      <w:r w:rsidRPr="002A6992">
        <w:rPr>
          <w:szCs w:val="28"/>
          <w:lang w:val="nl-NL"/>
        </w:rPr>
        <w:t>đạt 93,6% dự toán, tăng 10,2% so cùng kỳ; thu tiền sử dụng đất đạt 79,02% dự toán, tăng 89,6% so cùng kỳ.</w:t>
      </w:r>
      <w:r w:rsidRPr="002A6992">
        <w:rPr>
          <w:szCs w:val="28"/>
          <w:lang w:val="en-US"/>
        </w:rPr>
        <w:t xml:space="preserve"> Bên cạnh đó, phát sinh một số khoản tăng thu đột biến như thu chênh lệch thu chi của Ngân hàng Nhà nước đã nộp ngân sách 52,7 nghìn tỷ đồng bằng 289,8% dự toán.</w:t>
      </w:r>
      <w:r w:rsidRPr="0010405B">
        <w:rPr>
          <w:szCs w:val="28"/>
          <w:lang w:val="en-US"/>
        </w:rPr>
        <w:t xml:space="preserve"> </w:t>
      </w:r>
    </w:p>
    <w:p w:rsidR="000E6691" w:rsidRPr="0010405B" w:rsidRDefault="000E6691" w:rsidP="000E6691">
      <w:pPr>
        <w:ind w:firstLine="720"/>
        <w:jc w:val="both"/>
        <w:rPr>
          <w:bCs/>
          <w:iCs/>
          <w:szCs w:val="28"/>
          <w:lang w:val="nl-NL"/>
        </w:rPr>
      </w:pPr>
      <w:r w:rsidRPr="0010405B">
        <w:rPr>
          <w:iCs/>
          <w:szCs w:val="28"/>
          <w:lang w:val="nl-NL"/>
        </w:rPr>
        <w:t xml:space="preserve">Để </w:t>
      </w:r>
      <w:r w:rsidRPr="0010405B">
        <w:rPr>
          <w:iCs/>
          <w:szCs w:val="28"/>
          <w:lang w:val="da-DK"/>
        </w:rPr>
        <w:t xml:space="preserve">khắc phục và bù đắp các tác động đến thu NSNN trong ngắn hạn cũng như đảm bảo sự chủ động trong điều hành dự toán NSNN, </w:t>
      </w:r>
      <w:r w:rsidR="00C76F0E">
        <w:rPr>
          <w:iCs/>
          <w:szCs w:val="28"/>
          <w:lang w:val="da-DK"/>
        </w:rPr>
        <w:t>Chính phủ</w:t>
      </w:r>
      <w:r w:rsidRPr="0010405B">
        <w:rPr>
          <w:iCs/>
          <w:szCs w:val="28"/>
          <w:lang w:val="da-DK"/>
        </w:rPr>
        <w:t xml:space="preserve"> sẽ </w:t>
      </w:r>
      <w:r w:rsidR="00997F11">
        <w:rPr>
          <w:iCs/>
          <w:szCs w:val="28"/>
          <w:lang w:val="da-DK"/>
        </w:rPr>
        <w:t xml:space="preserve">chỉ đạo Bộ Tài chính </w:t>
      </w:r>
      <w:r w:rsidRPr="0010405B">
        <w:rPr>
          <w:iCs/>
          <w:szCs w:val="28"/>
          <w:lang w:val="da-DK"/>
        </w:rPr>
        <w:t>phối hợp với các Bộ, ngành có liên quan và địa phương q</w:t>
      </w:r>
      <w:r w:rsidRPr="0010405B">
        <w:rPr>
          <w:szCs w:val="28"/>
          <w:lang w:val="en-US"/>
        </w:rPr>
        <w:t>uyết liệt thực hiện các giải pháp Quốc hội giao Chính phủ tại Nghị quyết</w:t>
      </w:r>
      <w:r w:rsidR="0095265C">
        <w:rPr>
          <w:szCs w:val="28"/>
          <w:lang w:val="en-US"/>
        </w:rPr>
        <w:t xml:space="preserve"> số</w:t>
      </w:r>
      <w:r w:rsidRPr="0010405B">
        <w:rPr>
          <w:szCs w:val="28"/>
          <w:lang w:val="en-US"/>
        </w:rPr>
        <w:t xml:space="preserve"> 159/2024/QH15 về dự toán NSNN năm 2025; </w:t>
      </w:r>
      <w:r w:rsidRPr="0010405B">
        <w:rPr>
          <w:iCs/>
          <w:szCs w:val="28"/>
          <w:lang w:val="da-DK"/>
        </w:rPr>
        <w:t>chú trọng chỉ đạo thực hiện và triển khai hiệu quả các Luật thuế;</w:t>
      </w:r>
      <w:r w:rsidRPr="0010405B">
        <w:rPr>
          <w:iCs/>
          <w:szCs w:val="28"/>
          <w:lang w:val="nl-NL"/>
        </w:rPr>
        <w:t xml:space="preserve"> t</w:t>
      </w:r>
      <w:r w:rsidRPr="0010405B">
        <w:rPr>
          <w:bCs/>
          <w:iCs/>
          <w:szCs w:val="28"/>
          <w:lang w:val="nl-NL"/>
        </w:rPr>
        <w:t>iếp tục cải cách hiện đại hóa hệ thống thuế, đơn giản hóa thủ tục hành chính thuế.</w:t>
      </w:r>
    </w:p>
    <w:p w:rsidR="000A0B82" w:rsidRPr="000A0B82" w:rsidRDefault="000E6691" w:rsidP="000E6691">
      <w:pPr>
        <w:ind w:firstLine="720"/>
        <w:jc w:val="both"/>
        <w:rPr>
          <w:szCs w:val="28"/>
          <w:highlight w:val="yellow"/>
          <w:lang w:val="nl-NL"/>
        </w:rPr>
      </w:pPr>
      <w:r w:rsidRPr="0010405B">
        <w:rPr>
          <w:szCs w:val="28"/>
          <w:lang w:val="en-US"/>
        </w:rPr>
        <w:t xml:space="preserve">Chủ động có kịch bản, phương án điều hành ngân sách; xây dựng phương án sử dụng nguồn dự phòng ngân sách các cấp đảm bảo chủ động xử lý các nhu cầu phát sinh, đồng thời dành được nguồn để giảm chi trong trường </w:t>
      </w:r>
      <w:r w:rsidRPr="0010405B">
        <w:rPr>
          <w:szCs w:val="28"/>
          <w:lang w:val="en-US"/>
        </w:rPr>
        <w:lastRenderedPageBreak/>
        <w:t>hợp hụt thu ngân sách.</w:t>
      </w:r>
      <w:r w:rsidRPr="0010405B">
        <w:rPr>
          <w:i/>
          <w:szCs w:val="28"/>
          <w:lang w:val="en-US"/>
        </w:rPr>
        <w:t xml:space="preserve"> </w:t>
      </w:r>
      <w:r w:rsidRPr="0010405B">
        <w:rPr>
          <w:szCs w:val="28"/>
          <w:lang w:val="en-US"/>
        </w:rPr>
        <w:t>Đối với ngân sách địa phương hụt thu so với dự toán do giảm thuế GTGT, thực hiện theo quy định của Luật NSNN</w:t>
      </w:r>
      <w:r w:rsidRPr="0010405B">
        <w:rPr>
          <w:szCs w:val="28"/>
          <w:vertAlign w:val="superscript"/>
          <w:lang w:val="en-US"/>
        </w:rPr>
        <w:footnoteReference w:id="3"/>
      </w:r>
      <w:r w:rsidRPr="0010405B">
        <w:rPr>
          <w:szCs w:val="28"/>
          <w:lang w:val="en-US"/>
        </w:rPr>
        <w:t>.</w:t>
      </w:r>
      <w:r w:rsidR="000A0B82" w:rsidRPr="000A0B82">
        <w:rPr>
          <w:szCs w:val="28"/>
          <w:highlight w:val="yellow"/>
          <w:lang w:val="nl-NL"/>
        </w:rPr>
        <w:t xml:space="preserve"> </w:t>
      </w:r>
    </w:p>
    <w:p w:rsidR="002A6992" w:rsidRPr="009856F1" w:rsidRDefault="002A6992" w:rsidP="002A6992">
      <w:pPr>
        <w:spacing w:before="140" w:after="140"/>
        <w:ind w:firstLine="720"/>
        <w:jc w:val="both"/>
        <w:rPr>
          <w:szCs w:val="28"/>
          <w:lang w:val="nl-NL"/>
        </w:rPr>
      </w:pPr>
      <w:r w:rsidRPr="009856F1">
        <w:rPr>
          <w:b/>
          <w:bCs/>
          <w:i/>
          <w:iCs/>
          <w:szCs w:val="28"/>
          <w:lang w:val="nl-NL"/>
        </w:rPr>
        <w:t xml:space="preserve">b) </w:t>
      </w:r>
      <w:r w:rsidRPr="009856F1">
        <w:rPr>
          <w:b/>
          <w:i/>
          <w:szCs w:val="28"/>
          <w:lang w:val="nl-NL"/>
        </w:rPr>
        <w:t>Tác động đến tăng trưởng kinh tế</w:t>
      </w:r>
      <w:r w:rsidRPr="009856F1">
        <w:rPr>
          <w:szCs w:val="28"/>
          <w:lang w:val="nl-NL"/>
        </w:rPr>
        <w:t xml:space="preserve"> </w:t>
      </w:r>
    </w:p>
    <w:p w:rsidR="000E6691" w:rsidRPr="0010405B" w:rsidRDefault="000E6691" w:rsidP="000A0B82">
      <w:pPr>
        <w:ind w:firstLine="720"/>
        <w:jc w:val="both"/>
        <w:rPr>
          <w:szCs w:val="28"/>
          <w:lang w:val="nl-NL"/>
        </w:rPr>
      </w:pPr>
      <w:r w:rsidRPr="0010405B">
        <w:rPr>
          <w:szCs w:val="28"/>
          <w:lang w:val="nl-NL"/>
        </w:rPr>
        <w:t>Việc giảm thuế GTGT sẽ góp phần giảm giá thành hàng hóa, dịch vụ, từ đó thúc đẩy sản xuất kinh doanh và tạo thêm công ăn việc làm cho người lao động, góp phần ổn định kinh tế vĩ mô và tăng trưởng kinh tế trong năm 2025.</w:t>
      </w:r>
    </w:p>
    <w:p w:rsidR="000A0B82" w:rsidRPr="0010405B" w:rsidRDefault="000E6691" w:rsidP="000A0B82">
      <w:pPr>
        <w:ind w:firstLine="720"/>
        <w:jc w:val="both"/>
        <w:rPr>
          <w:b/>
          <w:i/>
          <w:szCs w:val="28"/>
          <w:lang w:val="nl-NL"/>
        </w:rPr>
      </w:pPr>
      <w:r w:rsidRPr="0010405B">
        <w:rPr>
          <w:b/>
          <w:i/>
          <w:szCs w:val="28"/>
          <w:lang w:val="nl-NL"/>
        </w:rPr>
        <w:t>c</w:t>
      </w:r>
      <w:r w:rsidR="000A0B82" w:rsidRPr="0010405B">
        <w:rPr>
          <w:b/>
          <w:i/>
          <w:szCs w:val="28"/>
          <w:lang w:val="nl-NL"/>
        </w:rPr>
        <w:t>) Tác động đến người dân và doanh nghiệp</w:t>
      </w:r>
    </w:p>
    <w:p w:rsidR="001C4F83" w:rsidRPr="009856F1" w:rsidRDefault="001C4F83" w:rsidP="001C4F83">
      <w:pPr>
        <w:spacing w:before="140" w:after="140"/>
        <w:ind w:firstLine="720"/>
        <w:jc w:val="both"/>
        <w:rPr>
          <w:szCs w:val="28"/>
          <w:lang w:val="nl-NL"/>
        </w:rPr>
      </w:pPr>
      <w:r w:rsidRPr="009856F1">
        <w:rPr>
          <w:i/>
          <w:szCs w:val="28"/>
          <w:lang w:val="nl-NL"/>
        </w:rPr>
        <w:t>- Đối với người dân:</w:t>
      </w:r>
      <w:r w:rsidRPr="009856F1">
        <w:rPr>
          <w:szCs w:val="28"/>
          <w:lang w:val="nl-NL"/>
        </w:rPr>
        <w:t xml:space="preserve"> Đây là đối tượng sẽ được hưởng lợi trực tiếp của chính sách này, việc giảm 2% mức thuế GTGT sẽ </w:t>
      </w:r>
      <w:r w:rsidRPr="009856F1">
        <w:rPr>
          <w:bCs/>
          <w:szCs w:val="28"/>
          <w:lang w:val="en-US"/>
        </w:rPr>
        <w:t xml:space="preserve">góp phần </w:t>
      </w:r>
      <w:r w:rsidRPr="009856F1">
        <w:rPr>
          <w:szCs w:val="28"/>
          <w:lang w:val="nl-NL"/>
        </w:rPr>
        <w:t>giảm trực tiếp chi phí của người dân trong việc tiêu dùng hàng hóa, dịch vụ phục vụ đời sống nhân dân.</w:t>
      </w:r>
    </w:p>
    <w:p w:rsidR="001C4F83" w:rsidRPr="009856F1" w:rsidRDefault="001C4F83" w:rsidP="001C4F83">
      <w:pPr>
        <w:spacing w:before="140" w:after="140"/>
        <w:ind w:firstLine="720"/>
        <w:jc w:val="both"/>
        <w:rPr>
          <w:bCs/>
          <w:szCs w:val="28"/>
          <w:lang w:val="en-US"/>
        </w:rPr>
      </w:pPr>
      <w:r w:rsidRPr="009856F1">
        <w:rPr>
          <w:i/>
          <w:szCs w:val="28"/>
          <w:lang w:val="nl-NL"/>
        </w:rPr>
        <w:t>- Đối với doanh nghiệp:</w:t>
      </w:r>
      <w:r w:rsidRPr="009856F1">
        <w:rPr>
          <w:szCs w:val="28"/>
          <w:lang w:val="nl-NL"/>
        </w:rPr>
        <w:t xml:space="preserve"> Việc giảm 2% mức thuế GTGT sẽ </w:t>
      </w:r>
      <w:r w:rsidRPr="009856F1">
        <w:rPr>
          <w:bCs/>
          <w:szCs w:val="28"/>
          <w:lang w:val="en-US"/>
        </w:rPr>
        <w:t xml:space="preserve">góp phần </w:t>
      </w:r>
      <w:r w:rsidRPr="009856F1">
        <w:rPr>
          <w:szCs w:val="28"/>
          <w:lang w:val="nl-NL"/>
        </w:rPr>
        <w:t>làm giảm chi phí sản xuất, hạ giá thành sản phẩm</w:t>
      </w:r>
      <w:r w:rsidRPr="009856F1">
        <w:rPr>
          <w:bCs/>
          <w:szCs w:val="28"/>
          <w:lang w:val="en-US"/>
        </w:rPr>
        <w:t xml:space="preserve"> thông qua doanh nghiệp có hoạt động sản xuất kinh doanh hàng hóa, cung ứng dịch vụ được giảm thuế GTGT dẫn đến giảm giá bán của hàng hóa, dịch vụ cho người tiêu dùng, từ đó </w:t>
      </w:r>
      <w:r w:rsidRPr="009856F1">
        <w:rPr>
          <w:szCs w:val="28"/>
          <w:lang w:val="nl-NL"/>
        </w:rPr>
        <w:t>giúp sản phẩm của doanh nghiệp tăng khả năng cạnh tranh, tiêu thụ hàng hóa, dịch vụ và mở rộng sản xuất kinh doanh</w:t>
      </w:r>
      <w:r w:rsidRPr="009856F1">
        <w:rPr>
          <w:bCs/>
          <w:szCs w:val="28"/>
          <w:lang w:val="en-US"/>
        </w:rPr>
        <w:t>, góp phần tạo thêm công ăn việc làm cho người lao động.</w:t>
      </w:r>
    </w:p>
    <w:p w:rsidR="000A0B82" w:rsidRPr="000A0B82" w:rsidRDefault="000A0B82" w:rsidP="000A0B82">
      <w:pPr>
        <w:ind w:firstLine="720"/>
        <w:jc w:val="both"/>
        <w:rPr>
          <w:b/>
          <w:i/>
          <w:szCs w:val="28"/>
          <w:highlight w:val="yellow"/>
          <w:lang w:val="nl-NL"/>
        </w:rPr>
      </w:pPr>
      <w:r w:rsidRPr="0010405B">
        <w:rPr>
          <w:b/>
          <w:i/>
          <w:szCs w:val="28"/>
          <w:lang w:val="nl-NL"/>
        </w:rPr>
        <w:t>d) Tác động đến các cam kết quốc tế</w:t>
      </w:r>
    </w:p>
    <w:p w:rsidR="000A0B82" w:rsidRPr="009856F1" w:rsidRDefault="0010405B" w:rsidP="002B22F6">
      <w:pPr>
        <w:ind w:firstLine="720"/>
        <w:jc w:val="both"/>
        <w:rPr>
          <w:szCs w:val="28"/>
          <w:lang w:val="nl-NL"/>
        </w:rPr>
      </w:pPr>
      <w:r w:rsidRPr="0010405B">
        <w:rPr>
          <w:szCs w:val="28"/>
          <w:lang w:val="en-US"/>
        </w:rPr>
        <w:t>Qua rà soát về các Điều ước quốc tế có liên quan mà Việt Nam là thành viên, các nội dung được đề xuất tại dự án Nghị quyết đều đảm bảo phù hợp với các cam kết quốc tế của Việt Nam và không trái với các cam kết tại các Điều ước quốc tế mà Việt Nam đã tham gia và là thành viên.</w:t>
      </w:r>
    </w:p>
    <w:p w:rsidR="00603244" w:rsidRPr="00EE15ED" w:rsidRDefault="00603244" w:rsidP="007F450C">
      <w:pPr>
        <w:ind w:firstLine="720"/>
        <w:jc w:val="both"/>
        <w:rPr>
          <w:b/>
          <w:szCs w:val="28"/>
          <w:lang w:val="it-IT"/>
        </w:rPr>
      </w:pPr>
      <w:r w:rsidRPr="00EE15ED">
        <w:rPr>
          <w:b/>
          <w:szCs w:val="28"/>
          <w:lang w:val="it-IT"/>
        </w:rPr>
        <w:t xml:space="preserve">V. </w:t>
      </w:r>
      <w:r w:rsidRPr="00EE15ED">
        <w:rPr>
          <w:b/>
          <w:szCs w:val="28"/>
          <w:lang w:val="nl-NL"/>
        </w:rPr>
        <w:t xml:space="preserve">DỰ KIẾN NGUỒN LỰC, ĐIỀU KIỆN BẢO ĐẢM CHO VIỆC </w:t>
      </w:r>
      <w:r w:rsidR="00F40931">
        <w:rPr>
          <w:b/>
          <w:szCs w:val="28"/>
          <w:lang w:val="nl-NL"/>
        </w:rPr>
        <w:t>THI HÀNH</w:t>
      </w:r>
      <w:r w:rsidRPr="00EE15ED">
        <w:rPr>
          <w:b/>
          <w:szCs w:val="28"/>
          <w:lang w:val="nl-NL"/>
        </w:rPr>
        <w:t xml:space="preserve"> NGHỊ QUYẾT</w:t>
      </w:r>
    </w:p>
    <w:p w:rsidR="000A0B82" w:rsidRPr="009856F1" w:rsidRDefault="000A0B82" w:rsidP="000A0B82">
      <w:pPr>
        <w:spacing w:before="140" w:after="140"/>
        <w:ind w:firstLine="720"/>
        <w:jc w:val="both"/>
        <w:rPr>
          <w:szCs w:val="28"/>
          <w:lang w:val="nl-NL"/>
        </w:rPr>
      </w:pPr>
      <w:r w:rsidRPr="009856F1">
        <w:rPr>
          <w:b/>
          <w:szCs w:val="28"/>
          <w:lang w:val="nl-NL"/>
        </w:rPr>
        <w:t xml:space="preserve">1. </w:t>
      </w:r>
      <w:r w:rsidRPr="009856F1">
        <w:rPr>
          <w:szCs w:val="28"/>
          <w:lang w:val="nl-NL"/>
        </w:rPr>
        <w:t>Dự kiến nguồn lực để thi hành Nghị quyết như sau:</w:t>
      </w:r>
    </w:p>
    <w:p w:rsidR="000A0B82" w:rsidRPr="009856F1" w:rsidRDefault="000A0B82" w:rsidP="000A0B82">
      <w:pPr>
        <w:spacing w:before="140" w:after="140"/>
        <w:ind w:firstLine="720"/>
        <w:jc w:val="both"/>
        <w:rPr>
          <w:szCs w:val="28"/>
          <w:lang w:val="nl-NL"/>
        </w:rPr>
      </w:pPr>
      <w:r w:rsidRPr="009856F1">
        <w:rPr>
          <w:szCs w:val="28"/>
          <w:lang w:val="nl-NL"/>
        </w:rPr>
        <w:t>- Từ nguồn ngân sách trung ương và ngân sách địa phương</w:t>
      </w:r>
      <w:r>
        <w:rPr>
          <w:szCs w:val="28"/>
          <w:lang w:val="nl-NL"/>
        </w:rPr>
        <w:t>.</w:t>
      </w:r>
    </w:p>
    <w:p w:rsidR="000A0B82" w:rsidRPr="009856F1" w:rsidRDefault="000A0B82" w:rsidP="000A0B82">
      <w:pPr>
        <w:spacing w:before="140" w:after="140"/>
        <w:ind w:firstLine="720"/>
        <w:jc w:val="both"/>
        <w:rPr>
          <w:szCs w:val="28"/>
          <w:lang w:val="nl-NL"/>
        </w:rPr>
      </w:pPr>
      <w:r w:rsidRPr="009856F1">
        <w:rPr>
          <w:szCs w:val="28"/>
          <w:lang w:val="nl-NL"/>
        </w:rPr>
        <w:t>- Từ các nguồn lực hợp pháp khác.</w:t>
      </w:r>
    </w:p>
    <w:p w:rsidR="000A0B82" w:rsidRPr="009856F1" w:rsidRDefault="000A0B82" w:rsidP="000A0B82">
      <w:pPr>
        <w:spacing w:before="140" w:after="140"/>
        <w:ind w:firstLine="720"/>
        <w:jc w:val="both"/>
        <w:rPr>
          <w:szCs w:val="28"/>
          <w:lang w:val="nl-NL"/>
        </w:rPr>
      </w:pPr>
      <w:r w:rsidRPr="009856F1">
        <w:rPr>
          <w:b/>
          <w:szCs w:val="28"/>
          <w:lang w:val="nl-NL"/>
        </w:rPr>
        <w:t>2.</w:t>
      </w:r>
      <w:r w:rsidRPr="009856F1">
        <w:rPr>
          <w:szCs w:val="28"/>
          <w:lang w:val="nl-NL"/>
        </w:rPr>
        <w:t xml:space="preserve"> Điều kiện bảo đảm cho việc thi hành Nghị quyết</w:t>
      </w:r>
    </w:p>
    <w:p w:rsidR="000A0B82" w:rsidRPr="009856F1" w:rsidRDefault="000A0B82" w:rsidP="000A0B82">
      <w:pPr>
        <w:spacing w:before="140" w:after="140"/>
        <w:ind w:firstLine="720"/>
        <w:jc w:val="both"/>
        <w:rPr>
          <w:szCs w:val="28"/>
          <w:lang w:val="nl-NL"/>
        </w:rPr>
      </w:pPr>
      <w:r w:rsidRPr="009856F1">
        <w:rPr>
          <w:szCs w:val="28"/>
          <w:lang w:val="nl-NL"/>
        </w:rPr>
        <w:t>Điều kiện bảo đảm cho việc thi hành Nghị quyết bao gồm các nội dung được xác định như sau:</w:t>
      </w:r>
    </w:p>
    <w:p w:rsidR="00997F11" w:rsidRPr="009856F1" w:rsidRDefault="00997F11" w:rsidP="00997F11">
      <w:pPr>
        <w:spacing w:before="140" w:after="140"/>
        <w:ind w:firstLine="720"/>
        <w:jc w:val="both"/>
        <w:rPr>
          <w:szCs w:val="28"/>
          <w:lang w:val="nl-NL"/>
        </w:rPr>
      </w:pPr>
      <w:r w:rsidRPr="009856F1">
        <w:rPr>
          <w:szCs w:val="28"/>
          <w:lang w:val="nl-NL"/>
        </w:rPr>
        <w:lastRenderedPageBreak/>
        <w:t xml:space="preserve">- Tuyên truyền, phổ biến Nghị quyết: Các Bộ, cơ quan ngang Bộ, cơ quan thuộc Chính phủ trong phạm vi chức năng, nhiệm vụ thực hiện phổ biến, giáo dục Nghị quyết và các quy định liên quan; </w:t>
      </w:r>
      <w:r>
        <w:rPr>
          <w:szCs w:val="28"/>
          <w:lang w:val="nl-NL"/>
        </w:rPr>
        <w:t xml:space="preserve">Chính phủ chỉ đạo </w:t>
      </w:r>
      <w:r w:rsidRPr="009856F1">
        <w:rPr>
          <w:szCs w:val="28"/>
          <w:lang w:val="nl-NL"/>
        </w:rPr>
        <w:t>Bộ Tài chính xây dựng nội dung thông tin, tuyên truyền phổ biến những yêu cầu, nội dung và các quy định của Nghị quyết kịp thời đến các cơ quan, tổ chức và người dân, giúp hiểu biết, nắm bắt pháp luật kịp thời để thực hiện.</w:t>
      </w:r>
    </w:p>
    <w:p w:rsidR="00997F11" w:rsidRPr="009856F1" w:rsidRDefault="00997F11" w:rsidP="00997F11">
      <w:pPr>
        <w:spacing w:before="140" w:after="140"/>
        <w:ind w:firstLine="720"/>
        <w:jc w:val="both"/>
        <w:rPr>
          <w:bCs/>
          <w:iCs/>
          <w:szCs w:val="28"/>
          <w:lang w:val="nl-NL"/>
        </w:rPr>
      </w:pPr>
      <w:r w:rsidRPr="009856F1">
        <w:rPr>
          <w:szCs w:val="28"/>
          <w:lang w:val="nl-NL"/>
        </w:rPr>
        <w:t xml:space="preserve">- Bảo đảm nguồn lực thực hiện: </w:t>
      </w:r>
      <w:r>
        <w:rPr>
          <w:szCs w:val="28"/>
          <w:lang w:val="nl-NL"/>
        </w:rPr>
        <w:t xml:space="preserve">Chính phủ chỉ đạo </w:t>
      </w:r>
      <w:r w:rsidRPr="009856F1">
        <w:rPr>
          <w:szCs w:val="28"/>
          <w:lang w:val="nl-NL"/>
        </w:rPr>
        <w:t xml:space="preserve">Bộ Tài chính có hướng dẫn cụ thể để Cục Thuế và Cục Hải quan các tỉnh, thành phố trực thuộc trung ương tổ chức triển khai thực hiện Nghị quyết. Đồng thời, để khắc phục </w:t>
      </w:r>
      <w:r w:rsidRPr="009856F1">
        <w:rPr>
          <w:szCs w:val="28"/>
          <w:lang w:val="da-DK"/>
        </w:rPr>
        <w:t xml:space="preserve">và bù đắp các tác động đến thu NSNN trong ngắn hạn cũng như đảm bảo sự chủ động trong điều hành dự toán NSNN, </w:t>
      </w:r>
      <w:r>
        <w:rPr>
          <w:szCs w:val="28"/>
          <w:lang w:val="da-DK"/>
        </w:rPr>
        <w:t xml:space="preserve">Chính phủ sẽ chỉ đạo </w:t>
      </w:r>
      <w:r w:rsidRPr="009856F1">
        <w:rPr>
          <w:szCs w:val="28"/>
          <w:lang w:val="da-DK"/>
        </w:rPr>
        <w:t>Bộ Tài chính phối hợp với các Bộ, ngành có liên quan và địa phương chú trọng chỉ đạo thực hiện và triển khai hiệu quả</w:t>
      </w:r>
      <w:r>
        <w:rPr>
          <w:szCs w:val="28"/>
          <w:lang w:val="da-DK"/>
        </w:rPr>
        <w:t xml:space="preserve"> các giải</w:t>
      </w:r>
      <w:r w:rsidRPr="009856F1">
        <w:rPr>
          <w:szCs w:val="28"/>
          <w:lang w:val="da-DK"/>
        </w:rPr>
        <w:t xml:space="preserve"> pháp như đã nêu tại điểm a khoản 3 mục IV nêu trên</w:t>
      </w:r>
      <w:r w:rsidRPr="009856F1">
        <w:rPr>
          <w:bCs/>
          <w:iCs/>
          <w:szCs w:val="28"/>
          <w:lang w:val="nl-NL"/>
        </w:rPr>
        <w:t>.</w:t>
      </w:r>
    </w:p>
    <w:p w:rsidR="002F30D4" w:rsidRPr="00EE15ED" w:rsidRDefault="002F30D4" w:rsidP="002F30D4">
      <w:pPr>
        <w:spacing w:before="140" w:after="140"/>
        <w:ind w:firstLine="720"/>
        <w:jc w:val="both"/>
        <w:rPr>
          <w:rFonts w:eastAsia="Arial"/>
          <w:szCs w:val="28"/>
          <w:lang w:val="nl-NL"/>
        </w:rPr>
      </w:pPr>
      <w:r w:rsidRPr="009856F1">
        <w:rPr>
          <w:szCs w:val="28"/>
          <w:lang w:val="nl-NL"/>
        </w:rPr>
        <w:t xml:space="preserve">Từ nội dung báo cáo nêu trên, </w:t>
      </w:r>
      <w:r>
        <w:rPr>
          <w:bCs/>
          <w:szCs w:val="28"/>
          <w:lang w:val="sv-SE"/>
        </w:rPr>
        <w:t>Chính phủ</w:t>
      </w:r>
      <w:r w:rsidRPr="009856F1">
        <w:rPr>
          <w:bCs/>
          <w:szCs w:val="28"/>
          <w:lang w:val="sv-SE"/>
        </w:rPr>
        <w:t xml:space="preserve"> trình </w:t>
      </w:r>
      <w:r w:rsidRPr="009856F1">
        <w:rPr>
          <w:szCs w:val="28"/>
          <w:lang w:val="nl-NL"/>
        </w:rPr>
        <w:t xml:space="preserve">Ủy ban Thường vụ Quốc hội, Quốc </w:t>
      </w:r>
      <w:r>
        <w:rPr>
          <w:szCs w:val="28"/>
          <w:lang w:val="nl-NL"/>
        </w:rPr>
        <w:t>hội c</w:t>
      </w:r>
      <w:r w:rsidRPr="00EE15ED">
        <w:rPr>
          <w:rFonts w:eastAsia="Arial"/>
          <w:szCs w:val="28"/>
          <w:lang w:val="nl-NL"/>
        </w:rPr>
        <w:t xml:space="preserve">ho phép </w:t>
      </w:r>
      <w:r>
        <w:rPr>
          <w:rFonts w:eastAsia="Arial"/>
          <w:szCs w:val="28"/>
          <w:lang w:val="nl-NL"/>
        </w:rPr>
        <w:t xml:space="preserve">bổ sung </w:t>
      </w:r>
      <w:r w:rsidRPr="00EE15ED">
        <w:rPr>
          <w:rFonts w:eastAsia="Arial"/>
          <w:szCs w:val="28"/>
          <w:lang w:val="nl-NL"/>
        </w:rPr>
        <w:t xml:space="preserve">dự án Nghị quyết của Quốc hội về giảm </w:t>
      </w:r>
      <w:r w:rsidRPr="00EE15ED">
        <w:rPr>
          <w:szCs w:val="28"/>
          <w:lang w:val="nl-NL"/>
        </w:rPr>
        <w:t>thuế GTGT</w:t>
      </w:r>
      <w:r w:rsidRPr="00EE15ED">
        <w:rPr>
          <w:rFonts w:eastAsia="Arial"/>
          <w:szCs w:val="28"/>
          <w:lang w:val="nl-NL"/>
        </w:rPr>
        <w:t xml:space="preserve"> </w:t>
      </w:r>
      <w:r>
        <w:rPr>
          <w:rFonts w:eastAsia="Arial"/>
          <w:szCs w:val="28"/>
          <w:lang w:val="nl-NL"/>
        </w:rPr>
        <w:t xml:space="preserve">vào Chương trình kỳ họp thứ 8, </w:t>
      </w:r>
      <w:r w:rsidRPr="00EE15ED">
        <w:rPr>
          <w:rFonts w:eastAsia="Arial"/>
          <w:szCs w:val="28"/>
          <w:lang w:val="nl-NL"/>
        </w:rPr>
        <w:t xml:space="preserve">Quốc hội khóa XV và </w:t>
      </w:r>
      <w:r>
        <w:rPr>
          <w:rFonts w:eastAsia="Arial"/>
          <w:szCs w:val="28"/>
          <w:lang w:val="nl-NL"/>
        </w:rPr>
        <w:t xml:space="preserve">xem xét </w:t>
      </w:r>
      <w:r w:rsidRPr="00EE15ED">
        <w:rPr>
          <w:rFonts w:eastAsia="Arial"/>
          <w:szCs w:val="28"/>
          <w:lang w:val="nl-NL"/>
        </w:rPr>
        <w:t xml:space="preserve">thông qua ngay tại </w:t>
      </w:r>
      <w:r>
        <w:rPr>
          <w:rFonts w:eastAsia="Arial"/>
          <w:szCs w:val="28"/>
          <w:lang w:val="nl-NL"/>
        </w:rPr>
        <w:t>K</w:t>
      </w:r>
      <w:r w:rsidRPr="00EE15ED">
        <w:rPr>
          <w:rFonts w:eastAsia="Arial"/>
          <w:szCs w:val="28"/>
          <w:lang w:val="nl-NL"/>
        </w:rPr>
        <w:t xml:space="preserve">ỳ họp thứ </w:t>
      </w:r>
      <w:r>
        <w:rPr>
          <w:rFonts w:eastAsia="Arial"/>
          <w:szCs w:val="28"/>
          <w:lang w:val="nl-NL"/>
        </w:rPr>
        <w:t>8,</w:t>
      </w:r>
      <w:r w:rsidRPr="00EE15ED">
        <w:rPr>
          <w:rFonts w:eastAsia="Arial"/>
          <w:szCs w:val="28"/>
          <w:lang w:val="nl-NL"/>
        </w:rPr>
        <w:t xml:space="preserve"> Quốc hội khóa XV.</w:t>
      </w:r>
    </w:p>
    <w:p w:rsidR="002F30D4" w:rsidRPr="009856F1" w:rsidRDefault="002F30D4" w:rsidP="002F30D4">
      <w:pPr>
        <w:spacing w:before="140" w:after="140"/>
        <w:ind w:firstLine="720"/>
        <w:jc w:val="both"/>
        <w:rPr>
          <w:szCs w:val="28"/>
          <w:lang w:val="nl-NL"/>
        </w:rPr>
      </w:pPr>
      <w:r>
        <w:rPr>
          <w:szCs w:val="28"/>
          <w:lang w:val="nl-NL"/>
        </w:rPr>
        <w:t xml:space="preserve">Kính trình </w:t>
      </w:r>
      <w:r w:rsidRPr="009856F1">
        <w:rPr>
          <w:szCs w:val="28"/>
          <w:lang w:val="nl-NL"/>
        </w:rPr>
        <w:t xml:space="preserve">Ủy ban Thường vụ Quốc hội, Quốc </w:t>
      </w:r>
      <w:r>
        <w:rPr>
          <w:szCs w:val="28"/>
          <w:lang w:val="nl-NL"/>
        </w:rPr>
        <w:t>hội xem xét, quyết định</w:t>
      </w:r>
      <w:r w:rsidRPr="009856F1">
        <w:rPr>
          <w:szCs w:val="28"/>
          <w:lang w:val="nl-NL"/>
        </w:rPr>
        <w:t>./.</w:t>
      </w:r>
    </w:p>
    <w:p w:rsidR="0027633A" w:rsidRPr="00F136CE" w:rsidRDefault="002F30D4" w:rsidP="002F30D4">
      <w:pPr>
        <w:ind w:firstLine="720"/>
        <w:jc w:val="both"/>
        <w:rPr>
          <w:i/>
          <w:szCs w:val="28"/>
          <w:lang w:val="nl-NL"/>
        </w:rPr>
      </w:pPr>
      <w:r w:rsidRPr="00FE1B35">
        <w:rPr>
          <w:i/>
          <w:szCs w:val="28"/>
          <w:lang w:val="nl-NL"/>
        </w:rPr>
        <w:t xml:space="preserve"> </w:t>
      </w:r>
      <w:r w:rsidR="0027633A" w:rsidRPr="00FE1B35">
        <w:rPr>
          <w:i/>
          <w:szCs w:val="28"/>
          <w:lang w:val="nl-NL"/>
        </w:rPr>
        <w:t xml:space="preserve">(Xin trình kèm: </w:t>
      </w:r>
      <w:r w:rsidR="0027633A">
        <w:rPr>
          <w:i/>
          <w:szCs w:val="28"/>
          <w:lang w:val="nl-NL"/>
        </w:rPr>
        <w:t xml:space="preserve">1. </w:t>
      </w:r>
      <w:r w:rsidR="0027633A" w:rsidRPr="00FE1B35">
        <w:rPr>
          <w:i/>
          <w:szCs w:val="28"/>
          <w:lang w:val="nl-NL"/>
        </w:rPr>
        <w:t xml:space="preserve">Dự thảo Nghị quyết; </w:t>
      </w:r>
      <w:r w:rsidR="00935E33">
        <w:rPr>
          <w:i/>
          <w:szCs w:val="28"/>
          <w:lang w:val="nl-NL"/>
        </w:rPr>
        <w:t>2</w:t>
      </w:r>
      <w:r w:rsidR="0027633A">
        <w:rPr>
          <w:i/>
          <w:szCs w:val="28"/>
          <w:lang w:val="nl-NL"/>
        </w:rPr>
        <w:t xml:space="preserve">. </w:t>
      </w:r>
      <w:r w:rsidR="0027633A" w:rsidRPr="00C808BB">
        <w:rPr>
          <w:i/>
          <w:szCs w:val="28"/>
          <w:lang w:val="nl-NL"/>
        </w:rPr>
        <w:t xml:space="preserve">Báo cáo đánh giá </w:t>
      </w:r>
      <w:r w:rsidR="0027633A" w:rsidRPr="00C808BB">
        <w:rPr>
          <w:rFonts w:eastAsia="Times New Roman"/>
          <w:i/>
          <w:szCs w:val="28"/>
          <w:lang w:val="nl-NL"/>
        </w:rPr>
        <w:t xml:space="preserve">tình hình thực hiện giảm thuế GTGT theo </w:t>
      </w:r>
      <w:r w:rsidR="0027633A" w:rsidRPr="00EE15ED">
        <w:rPr>
          <w:rFonts w:eastAsia="Times New Roman"/>
          <w:bCs/>
          <w:i/>
          <w:iCs/>
          <w:szCs w:val="28"/>
          <w:lang w:val="nl-NL"/>
        </w:rPr>
        <w:t xml:space="preserve">Nghị quyết số </w:t>
      </w:r>
      <w:r w:rsidR="0027633A">
        <w:rPr>
          <w:rFonts w:eastAsia="Times New Roman"/>
          <w:bCs/>
          <w:i/>
          <w:iCs/>
          <w:szCs w:val="28"/>
          <w:lang w:val="nl-NL"/>
        </w:rPr>
        <w:t>142</w:t>
      </w:r>
      <w:r w:rsidR="0027633A" w:rsidRPr="00EE15ED">
        <w:rPr>
          <w:rFonts w:eastAsia="Times New Roman"/>
          <w:bCs/>
          <w:i/>
          <w:iCs/>
          <w:szCs w:val="28"/>
          <w:lang w:val="nl-NL"/>
        </w:rPr>
        <w:t>/202</w:t>
      </w:r>
      <w:r w:rsidR="0027633A">
        <w:rPr>
          <w:rFonts w:eastAsia="Times New Roman"/>
          <w:bCs/>
          <w:i/>
          <w:iCs/>
          <w:szCs w:val="28"/>
          <w:lang w:val="nl-NL"/>
        </w:rPr>
        <w:t>4</w:t>
      </w:r>
      <w:r w:rsidR="0027633A" w:rsidRPr="00EE15ED">
        <w:rPr>
          <w:rFonts w:eastAsia="Times New Roman"/>
          <w:bCs/>
          <w:i/>
          <w:iCs/>
          <w:szCs w:val="28"/>
          <w:lang w:val="nl-NL"/>
        </w:rPr>
        <w:t>/QH15 ngày 29/</w:t>
      </w:r>
      <w:r w:rsidR="0027633A">
        <w:rPr>
          <w:rFonts w:eastAsia="Times New Roman"/>
          <w:bCs/>
          <w:i/>
          <w:iCs/>
          <w:szCs w:val="28"/>
          <w:lang w:val="nl-NL"/>
        </w:rPr>
        <w:t>6</w:t>
      </w:r>
      <w:r w:rsidR="0027633A" w:rsidRPr="00EE15ED">
        <w:rPr>
          <w:rFonts w:eastAsia="Times New Roman"/>
          <w:bCs/>
          <w:i/>
          <w:iCs/>
          <w:szCs w:val="28"/>
          <w:lang w:val="nl-NL"/>
        </w:rPr>
        <w:t>/202</w:t>
      </w:r>
      <w:r w:rsidR="0027633A">
        <w:rPr>
          <w:rFonts w:eastAsia="Times New Roman"/>
          <w:bCs/>
          <w:i/>
          <w:iCs/>
          <w:szCs w:val="28"/>
          <w:lang w:val="nl-NL"/>
        </w:rPr>
        <w:t>4</w:t>
      </w:r>
      <w:r w:rsidR="0027633A" w:rsidRPr="00EE15ED">
        <w:rPr>
          <w:rFonts w:eastAsia="Times New Roman"/>
          <w:bCs/>
          <w:i/>
          <w:iCs/>
          <w:szCs w:val="28"/>
          <w:lang w:val="nl-NL"/>
        </w:rPr>
        <w:t xml:space="preserve"> </w:t>
      </w:r>
      <w:r w:rsidR="0027633A" w:rsidRPr="00EE15ED">
        <w:rPr>
          <w:rFonts w:eastAsia="Times New Roman"/>
          <w:i/>
          <w:szCs w:val="28"/>
          <w:lang w:val="nl-NL"/>
        </w:rPr>
        <w:t xml:space="preserve">về Kỳ họp thứ </w:t>
      </w:r>
      <w:r w:rsidR="0027633A">
        <w:rPr>
          <w:rFonts w:eastAsia="Times New Roman"/>
          <w:i/>
          <w:szCs w:val="28"/>
          <w:lang w:val="nl-NL"/>
        </w:rPr>
        <w:t>7,</w:t>
      </w:r>
      <w:r w:rsidR="0027633A" w:rsidRPr="00EE15ED">
        <w:rPr>
          <w:rFonts w:eastAsia="Times New Roman"/>
          <w:i/>
          <w:szCs w:val="28"/>
          <w:lang w:val="nl-NL"/>
        </w:rPr>
        <w:t xml:space="preserve"> Quốc hội khóa XV</w:t>
      </w:r>
      <w:r w:rsidR="0027633A">
        <w:rPr>
          <w:rFonts w:eastAsia="Times New Roman"/>
          <w:i/>
          <w:szCs w:val="28"/>
          <w:lang w:val="nl-NL"/>
        </w:rPr>
        <w:t xml:space="preserve">; </w:t>
      </w:r>
      <w:r w:rsidR="00935E33">
        <w:rPr>
          <w:rFonts w:eastAsia="Times New Roman"/>
          <w:i/>
          <w:szCs w:val="28"/>
          <w:lang w:val="nl-NL"/>
        </w:rPr>
        <w:t>3</w:t>
      </w:r>
      <w:r w:rsidR="0027633A">
        <w:rPr>
          <w:rFonts w:eastAsia="Times New Roman"/>
          <w:i/>
          <w:szCs w:val="28"/>
          <w:lang w:val="nl-NL"/>
        </w:rPr>
        <w:t xml:space="preserve">. </w:t>
      </w:r>
      <w:r w:rsidR="0027633A">
        <w:rPr>
          <w:i/>
          <w:szCs w:val="28"/>
          <w:lang w:val="nl-NL"/>
        </w:rPr>
        <w:t xml:space="preserve">Báo cáo đánh giá tác động của </w:t>
      </w:r>
      <w:r w:rsidR="0027633A">
        <w:rPr>
          <w:rFonts w:eastAsia="Times New Roman"/>
          <w:i/>
          <w:szCs w:val="24"/>
          <w:lang w:val="nl-NL"/>
        </w:rPr>
        <w:t>dự án Nghị quyết</w:t>
      </w:r>
      <w:r w:rsidR="0027633A">
        <w:rPr>
          <w:i/>
          <w:szCs w:val="28"/>
          <w:lang w:val="nl-NL"/>
        </w:rPr>
        <w:t xml:space="preserve">; </w:t>
      </w:r>
      <w:r w:rsidR="00935E33">
        <w:rPr>
          <w:i/>
          <w:szCs w:val="28"/>
          <w:lang w:val="nl-NL"/>
        </w:rPr>
        <w:t>4.</w:t>
      </w:r>
      <w:r w:rsidR="00935E33" w:rsidRPr="00F136CE">
        <w:rPr>
          <w:rFonts w:eastAsia="Times New Roman"/>
          <w:i/>
          <w:szCs w:val="24"/>
          <w:lang w:val="nl-NL"/>
        </w:rPr>
        <w:t xml:space="preserve"> </w:t>
      </w:r>
      <w:r w:rsidR="00935E33">
        <w:rPr>
          <w:rFonts w:eastAsia="Times New Roman"/>
          <w:i/>
          <w:szCs w:val="24"/>
          <w:lang w:val="nl-NL"/>
        </w:rPr>
        <w:t>Báo cáo rà soát các văn bản quy phạm pháp luật có liên quan đến dự án Nghị quyết; 5</w:t>
      </w:r>
      <w:r w:rsidR="0027633A">
        <w:rPr>
          <w:rFonts w:eastAsia="Times New Roman"/>
          <w:i/>
          <w:szCs w:val="24"/>
          <w:lang w:val="nl-NL"/>
        </w:rPr>
        <w:t>. Dự thảo Nghị định quy định chi tiết việc giảm thuế GTGT theo Nghị quyết của Quốc hội</w:t>
      </w:r>
      <w:r w:rsidR="0027633A" w:rsidRPr="00FE1B35">
        <w:rPr>
          <w:rFonts w:eastAsia="Times New Roman"/>
          <w:i/>
          <w:szCs w:val="28"/>
          <w:lang w:val="nl-NL"/>
        </w:rPr>
        <w:t>)</w:t>
      </w:r>
    </w:p>
    <w:tbl>
      <w:tblPr>
        <w:tblW w:w="20504" w:type="dxa"/>
        <w:tblCellSpacing w:w="0" w:type="dxa"/>
        <w:tblInd w:w="63" w:type="dxa"/>
        <w:shd w:val="clear" w:color="auto" w:fill="FFFFFF"/>
        <w:tblCellMar>
          <w:left w:w="0" w:type="dxa"/>
          <w:right w:w="0" w:type="dxa"/>
        </w:tblCellMar>
        <w:tblLook w:val="04A0" w:firstRow="1" w:lastRow="0" w:firstColumn="1" w:lastColumn="0" w:noHBand="0" w:noVBand="1"/>
      </w:tblPr>
      <w:tblGrid>
        <w:gridCol w:w="10550"/>
        <w:gridCol w:w="9954"/>
      </w:tblGrid>
      <w:tr w:rsidR="008B5107" w:rsidRPr="005C11B5" w:rsidTr="0027633A">
        <w:trPr>
          <w:tblCellSpacing w:w="0" w:type="dxa"/>
        </w:trPr>
        <w:tc>
          <w:tcPr>
            <w:tcW w:w="10550" w:type="dxa"/>
            <w:shd w:val="clear" w:color="auto" w:fill="FFFFFF"/>
            <w:tcMar>
              <w:top w:w="0" w:type="dxa"/>
              <w:left w:w="108" w:type="dxa"/>
              <w:bottom w:w="0" w:type="dxa"/>
              <w:right w:w="108" w:type="dxa"/>
            </w:tcMar>
            <w:hideMark/>
          </w:tcPr>
          <w:tbl>
            <w:tblPr>
              <w:tblpPr w:leftFromText="180" w:rightFromText="180" w:vertAnchor="page" w:horzAnchor="margin" w:tblpY="1"/>
              <w:tblOverlap w:val="never"/>
              <w:tblW w:w="10334" w:type="dxa"/>
              <w:tblLook w:val="0000" w:firstRow="0" w:lastRow="0" w:firstColumn="0" w:lastColumn="0" w:noHBand="0" w:noVBand="0"/>
            </w:tblPr>
            <w:tblGrid>
              <w:gridCol w:w="3686"/>
              <w:gridCol w:w="6648"/>
            </w:tblGrid>
            <w:tr w:rsidR="007F450C" w:rsidRPr="00EE15ED" w:rsidTr="00337AAB">
              <w:trPr>
                <w:trHeight w:val="1259"/>
              </w:trPr>
              <w:tc>
                <w:tcPr>
                  <w:tcW w:w="3686" w:type="dxa"/>
                </w:tcPr>
                <w:p w:rsidR="007F450C" w:rsidRPr="00EE15ED" w:rsidRDefault="007F450C" w:rsidP="007F450C">
                  <w:pPr>
                    <w:spacing w:before="0" w:after="0"/>
                    <w:jc w:val="both"/>
                    <w:rPr>
                      <w:rFonts w:eastAsia="Times New Roman"/>
                      <w:b/>
                      <w:i/>
                      <w:sz w:val="24"/>
                      <w:szCs w:val="24"/>
                      <w:lang w:val="it-IT"/>
                    </w:rPr>
                  </w:pPr>
                  <w:r w:rsidRPr="00EE15ED">
                    <w:rPr>
                      <w:rFonts w:eastAsia="Times New Roman"/>
                      <w:b/>
                      <w:i/>
                      <w:sz w:val="24"/>
                      <w:szCs w:val="24"/>
                      <w:lang w:val="it-IT"/>
                    </w:rPr>
                    <w:t>Nơi nhận:</w:t>
                  </w:r>
                </w:p>
                <w:p w:rsidR="00935E33" w:rsidRDefault="00935E33" w:rsidP="00935E33">
                  <w:pPr>
                    <w:spacing w:before="0" w:after="0"/>
                    <w:jc w:val="both"/>
                    <w:rPr>
                      <w:rFonts w:eastAsia="Times New Roman"/>
                      <w:bCs/>
                      <w:sz w:val="22"/>
                      <w:szCs w:val="28"/>
                      <w:lang w:val="it-IT"/>
                    </w:rPr>
                  </w:pPr>
                  <w:r w:rsidRPr="00765A92">
                    <w:rPr>
                      <w:rFonts w:eastAsia="Times New Roman"/>
                      <w:bCs/>
                      <w:sz w:val="22"/>
                      <w:szCs w:val="28"/>
                      <w:lang w:val="it-IT"/>
                    </w:rPr>
                    <w:t>- Như trên;</w:t>
                  </w:r>
                </w:p>
                <w:p w:rsidR="00935E33" w:rsidRPr="00765A92" w:rsidRDefault="00935E33" w:rsidP="00935E33">
                  <w:pPr>
                    <w:spacing w:before="0" w:after="0"/>
                    <w:jc w:val="both"/>
                    <w:rPr>
                      <w:rFonts w:eastAsia="Times New Roman"/>
                      <w:bCs/>
                      <w:sz w:val="22"/>
                      <w:szCs w:val="28"/>
                      <w:lang w:val="it-IT"/>
                    </w:rPr>
                  </w:pPr>
                  <w:r>
                    <w:rPr>
                      <w:rFonts w:eastAsia="Times New Roman"/>
                      <w:bCs/>
                      <w:sz w:val="22"/>
                      <w:szCs w:val="28"/>
                      <w:lang w:val="it-IT"/>
                    </w:rPr>
                    <w:t>- Thủ tướng Chính phủ</w:t>
                  </w:r>
                  <w:r w:rsidR="00824285">
                    <w:rPr>
                      <w:rFonts w:eastAsia="Times New Roman"/>
                      <w:bCs/>
                      <w:sz w:val="22"/>
                      <w:szCs w:val="28"/>
                      <w:lang w:val="it-IT"/>
                    </w:rPr>
                    <w:t xml:space="preserve"> (để báo cáo)</w:t>
                  </w:r>
                  <w:r w:rsidRPr="00765A92">
                    <w:rPr>
                      <w:rFonts w:eastAsia="Times New Roman"/>
                      <w:bCs/>
                      <w:sz w:val="22"/>
                      <w:szCs w:val="28"/>
                      <w:lang w:val="it-IT"/>
                    </w:rPr>
                    <w:t>;</w:t>
                  </w:r>
                </w:p>
                <w:p w:rsidR="00935E33" w:rsidRDefault="00935E33" w:rsidP="00935E33">
                  <w:pPr>
                    <w:spacing w:before="0" w:after="0"/>
                    <w:jc w:val="both"/>
                    <w:rPr>
                      <w:rFonts w:eastAsia="Times New Roman"/>
                      <w:bCs/>
                      <w:sz w:val="22"/>
                      <w:szCs w:val="28"/>
                      <w:lang w:val="it-IT"/>
                    </w:rPr>
                  </w:pPr>
                  <w:r w:rsidRPr="00765A92">
                    <w:rPr>
                      <w:rFonts w:eastAsia="Times New Roman"/>
                      <w:bCs/>
                      <w:sz w:val="22"/>
                      <w:szCs w:val="28"/>
                      <w:lang w:val="it-IT"/>
                    </w:rPr>
                    <w:t xml:space="preserve">- </w:t>
                  </w:r>
                  <w:r w:rsidR="00B61EFC">
                    <w:rPr>
                      <w:rFonts w:eastAsia="Times New Roman"/>
                      <w:bCs/>
                      <w:sz w:val="22"/>
                      <w:szCs w:val="28"/>
                      <w:lang w:val="it-IT"/>
                    </w:rPr>
                    <w:t xml:space="preserve">Các </w:t>
                  </w:r>
                  <w:r>
                    <w:rPr>
                      <w:rFonts w:eastAsia="Times New Roman"/>
                      <w:bCs/>
                      <w:sz w:val="22"/>
                      <w:szCs w:val="28"/>
                      <w:lang w:val="it-IT"/>
                    </w:rPr>
                    <w:t xml:space="preserve">Phó </w:t>
                  </w:r>
                  <w:r w:rsidR="00B61EFC">
                    <w:rPr>
                      <w:rFonts w:eastAsia="Times New Roman"/>
                      <w:bCs/>
                      <w:sz w:val="22"/>
                      <w:szCs w:val="28"/>
                      <w:lang w:val="it-IT"/>
                    </w:rPr>
                    <w:t>Thủ tướng Chính phủ</w:t>
                  </w:r>
                  <w:r w:rsidRPr="00765A92">
                    <w:rPr>
                      <w:rFonts w:eastAsia="Times New Roman"/>
                      <w:bCs/>
                      <w:sz w:val="22"/>
                      <w:szCs w:val="28"/>
                      <w:lang w:val="it-IT"/>
                    </w:rPr>
                    <w:t>;</w:t>
                  </w:r>
                </w:p>
                <w:p w:rsidR="00935E33" w:rsidRDefault="00935E33" w:rsidP="00935E33">
                  <w:pPr>
                    <w:spacing w:before="0" w:after="0"/>
                    <w:jc w:val="both"/>
                    <w:rPr>
                      <w:rFonts w:eastAsia="Times New Roman"/>
                      <w:bCs/>
                      <w:sz w:val="22"/>
                      <w:szCs w:val="28"/>
                      <w:lang w:val="it-IT"/>
                    </w:rPr>
                  </w:pPr>
                  <w:r>
                    <w:rPr>
                      <w:rFonts w:eastAsia="Times New Roman"/>
                      <w:bCs/>
                      <w:sz w:val="22"/>
                      <w:szCs w:val="28"/>
                      <w:lang w:val="it-IT"/>
                    </w:rPr>
                    <w:t xml:space="preserve">- </w:t>
                  </w:r>
                  <w:r w:rsidRPr="00765A92">
                    <w:rPr>
                      <w:rFonts w:eastAsia="Times New Roman"/>
                      <w:bCs/>
                      <w:sz w:val="22"/>
                      <w:szCs w:val="28"/>
                      <w:lang w:val="it-IT"/>
                    </w:rPr>
                    <w:t>Văn phòng Trung ương Đảng;</w:t>
                  </w:r>
                </w:p>
                <w:p w:rsidR="00824285" w:rsidRPr="00765A92" w:rsidRDefault="00824285" w:rsidP="00824285">
                  <w:pPr>
                    <w:spacing w:before="0" w:after="0"/>
                    <w:jc w:val="both"/>
                    <w:rPr>
                      <w:rFonts w:eastAsia="Times New Roman"/>
                      <w:bCs/>
                      <w:sz w:val="22"/>
                      <w:szCs w:val="28"/>
                      <w:lang w:val="it-IT"/>
                    </w:rPr>
                  </w:pPr>
                  <w:r>
                    <w:rPr>
                      <w:rFonts w:eastAsia="Times New Roman"/>
                      <w:bCs/>
                      <w:sz w:val="22"/>
                      <w:szCs w:val="28"/>
                      <w:lang w:val="it-IT"/>
                    </w:rPr>
                    <w:t>- Văn phòng Chủ tịch nước;</w:t>
                  </w:r>
                </w:p>
                <w:p w:rsidR="00824285" w:rsidRDefault="00824285" w:rsidP="00824285">
                  <w:pPr>
                    <w:spacing w:before="0" w:after="0"/>
                    <w:jc w:val="both"/>
                    <w:rPr>
                      <w:rFonts w:eastAsia="Times New Roman"/>
                      <w:bCs/>
                      <w:sz w:val="22"/>
                      <w:szCs w:val="28"/>
                      <w:lang w:val="it-IT"/>
                    </w:rPr>
                  </w:pPr>
                  <w:r w:rsidRPr="00765A92">
                    <w:rPr>
                      <w:rFonts w:eastAsia="Times New Roman"/>
                      <w:bCs/>
                      <w:sz w:val="22"/>
                      <w:szCs w:val="28"/>
                      <w:lang w:val="it-IT"/>
                    </w:rPr>
                    <w:t>- Văn phòng Quốc hội;</w:t>
                  </w:r>
                </w:p>
                <w:p w:rsidR="00935E33" w:rsidRDefault="00935E33" w:rsidP="00935E33">
                  <w:pPr>
                    <w:spacing w:before="0" w:after="0"/>
                    <w:jc w:val="both"/>
                    <w:rPr>
                      <w:rFonts w:eastAsia="Times New Roman"/>
                      <w:bCs/>
                      <w:sz w:val="22"/>
                      <w:szCs w:val="28"/>
                      <w:lang w:val="it-IT"/>
                    </w:rPr>
                  </w:pPr>
                  <w:r>
                    <w:rPr>
                      <w:rFonts w:eastAsia="Times New Roman"/>
                      <w:bCs/>
                      <w:sz w:val="22"/>
                      <w:szCs w:val="28"/>
                      <w:lang w:val="it-IT"/>
                    </w:rPr>
                    <w:t>- Ủy ban Tài chính Ngân sách của Quốc hội;</w:t>
                  </w:r>
                </w:p>
                <w:p w:rsidR="00935E33" w:rsidRPr="00765A92" w:rsidRDefault="00935E33" w:rsidP="00935E33">
                  <w:pPr>
                    <w:spacing w:before="0" w:after="0"/>
                    <w:jc w:val="both"/>
                    <w:rPr>
                      <w:rFonts w:eastAsia="Times New Roman"/>
                      <w:bCs/>
                      <w:sz w:val="22"/>
                      <w:szCs w:val="28"/>
                      <w:lang w:val="it-IT"/>
                    </w:rPr>
                  </w:pPr>
                  <w:r>
                    <w:rPr>
                      <w:rFonts w:eastAsia="Times New Roman"/>
                      <w:bCs/>
                      <w:sz w:val="22"/>
                      <w:szCs w:val="28"/>
                      <w:lang w:val="it-IT"/>
                    </w:rPr>
                    <w:t>- Ủy ban Pháp luật của Quốc hội;</w:t>
                  </w:r>
                </w:p>
                <w:p w:rsidR="00935E33" w:rsidRDefault="00935E33" w:rsidP="00935E33">
                  <w:pPr>
                    <w:spacing w:before="0" w:after="0"/>
                    <w:jc w:val="both"/>
                    <w:rPr>
                      <w:rFonts w:eastAsia="Times New Roman"/>
                      <w:bCs/>
                      <w:sz w:val="22"/>
                      <w:szCs w:val="28"/>
                      <w:lang w:val="it-IT"/>
                    </w:rPr>
                  </w:pPr>
                  <w:r w:rsidRPr="00765A92">
                    <w:rPr>
                      <w:rFonts w:eastAsia="Times New Roman"/>
                      <w:bCs/>
                      <w:sz w:val="22"/>
                      <w:szCs w:val="28"/>
                      <w:lang w:val="it-IT"/>
                    </w:rPr>
                    <w:t>- Văn phòng Chính phủ</w:t>
                  </w:r>
                  <w:r w:rsidR="004C08E6">
                    <w:rPr>
                      <w:rFonts w:eastAsia="Times New Roman"/>
                      <w:bCs/>
                      <w:sz w:val="22"/>
                      <w:szCs w:val="28"/>
                      <w:lang w:val="it-IT"/>
                    </w:rPr>
                    <w:t>: BTCN, PCN Mai Thị Thu Vân</w:t>
                  </w:r>
                  <w:r w:rsidRPr="00765A92">
                    <w:rPr>
                      <w:rFonts w:eastAsia="Times New Roman"/>
                      <w:bCs/>
                      <w:sz w:val="22"/>
                      <w:szCs w:val="28"/>
                      <w:lang w:val="it-IT"/>
                    </w:rPr>
                    <w:t>;</w:t>
                  </w:r>
                </w:p>
                <w:p w:rsidR="00935E33" w:rsidRPr="00765A92" w:rsidRDefault="00935E33" w:rsidP="00935E33">
                  <w:pPr>
                    <w:spacing w:before="0" w:after="0"/>
                    <w:jc w:val="both"/>
                    <w:rPr>
                      <w:sz w:val="22"/>
                      <w:lang w:val="pt-BR"/>
                    </w:rPr>
                  </w:pPr>
                  <w:r w:rsidRPr="00765A92">
                    <w:rPr>
                      <w:rFonts w:eastAsia="Times New Roman"/>
                      <w:bCs/>
                      <w:sz w:val="22"/>
                      <w:szCs w:val="28"/>
                      <w:lang w:val="it-IT"/>
                    </w:rPr>
                    <w:t xml:space="preserve">- </w:t>
                  </w:r>
                  <w:r w:rsidRPr="00765A92">
                    <w:rPr>
                      <w:sz w:val="22"/>
                      <w:lang w:val="pt-BR"/>
                    </w:rPr>
                    <w:t>Bộ Tài chính;</w:t>
                  </w:r>
                </w:p>
                <w:p w:rsidR="007F450C" w:rsidRPr="00EE15ED" w:rsidRDefault="00935E33" w:rsidP="00935E33">
                  <w:pPr>
                    <w:spacing w:before="0" w:after="0"/>
                    <w:jc w:val="both"/>
                    <w:rPr>
                      <w:rFonts w:eastAsia="Times New Roman"/>
                      <w:b/>
                      <w:i/>
                      <w:sz w:val="23"/>
                      <w:szCs w:val="23"/>
                      <w:lang w:val="it-IT"/>
                    </w:rPr>
                  </w:pPr>
                  <w:r w:rsidRPr="00765A92">
                    <w:rPr>
                      <w:rFonts w:eastAsia="Times New Roman"/>
                      <w:bCs/>
                      <w:sz w:val="22"/>
                      <w:szCs w:val="28"/>
                      <w:lang w:val="it-IT"/>
                    </w:rPr>
                    <w:t xml:space="preserve">- Lưu: VT, </w:t>
                  </w:r>
                  <w:r>
                    <w:rPr>
                      <w:rFonts w:eastAsia="Times New Roman"/>
                      <w:bCs/>
                      <w:sz w:val="22"/>
                      <w:szCs w:val="28"/>
                      <w:lang w:val="it-IT"/>
                    </w:rPr>
                    <w:t>KTTH</w:t>
                  </w:r>
                  <w:r w:rsidRPr="00765A92">
                    <w:rPr>
                      <w:rFonts w:eastAsia="Times New Roman"/>
                      <w:bCs/>
                      <w:sz w:val="22"/>
                      <w:szCs w:val="28"/>
                      <w:lang w:val="it-IT"/>
                    </w:rPr>
                    <w:t>.</w:t>
                  </w:r>
                </w:p>
              </w:tc>
              <w:tc>
                <w:tcPr>
                  <w:tcW w:w="6648" w:type="dxa"/>
                </w:tcPr>
                <w:p w:rsidR="00935E33" w:rsidRPr="00765A92" w:rsidRDefault="00935E33" w:rsidP="00935E33">
                  <w:pPr>
                    <w:spacing w:before="0" w:after="0"/>
                    <w:jc w:val="center"/>
                    <w:rPr>
                      <w:b/>
                      <w:sz w:val="26"/>
                      <w:szCs w:val="26"/>
                      <w:lang w:val="pt-BR"/>
                    </w:rPr>
                  </w:pPr>
                  <w:r w:rsidRPr="00765A92">
                    <w:rPr>
                      <w:b/>
                      <w:sz w:val="26"/>
                      <w:szCs w:val="26"/>
                      <w:lang w:val="pt-BR"/>
                    </w:rPr>
                    <w:t>TM. CHÍNH PHỦ</w:t>
                  </w:r>
                </w:p>
                <w:p w:rsidR="00935E33" w:rsidRPr="00765A92" w:rsidRDefault="00935E33" w:rsidP="00935E33">
                  <w:pPr>
                    <w:spacing w:before="0" w:after="0"/>
                    <w:jc w:val="center"/>
                    <w:rPr>
                      <w:b/>
                      <w:sz w:val="26"/>
                      <w:szCs w:val="26"/>
                      <w:lang w:val="pt-BR"/>
                    </w:rPr>
                  </w:pPr>
                  <w:r w:rsidRPr="00765A92">
                    <w:rPr>
                      <w:b/>
                      <w:sz w:val="26"/>
                      <w:szCs w:val="26"/>
                      <w:lang w:val="pt-BR"/>
                    </w:rPr>
                    <w:t>TUQ. THỦ TƯỚNG</w:t>
                  </w:r>
                </w:p>
                <w:p w:rsidR="007F450C" w:rsidRPr="00EE15ED" w:rsidRDefault="00935E33" w:rsidP="00935E33">
                  <w:pPr>
                    <w:spacing w:before="0" w:after="0"/>
                    <w:jc w:val="center"/>
                    <w:rPr>
                      <w:rFonts w:eastAsia="Times New Roman"/>
                      <w:b/>
                      <w:bCs/>
                      <w:sz w:val="26"/>
                      <w:szCs w:val="26"/>
                      <w:lang w:val="it-IT"/>
                    </w:rPr>
                  </w:pPr>
                  <w:r w:rsidRPr="00765A92">
                    <w:rPr>
                      <w:rFonts w:eastAsia="Times New Roman"/>
                      <w:b/>
                      <w:bCs/>
                      <w:sz w:val="26"/>
                      <w:szCs w:val="26"/>
                      <w:lang w:val="it-IT"/>
                    </w:rPr>
                    <w:t>BỘ TRƯỞNG BỘ TÀI CHÍNH</w:t>
                  </w:r>
                </w:p>
                <w:p w:rsidR="007F450C" w:rsidRPr="00EE15ED" w:rsidRDefault="007F450C" w:rsidP="007F450C">
                  <w:pPr>
                    <w:spacing w:before="0" w:after="0"/>
                    <w:jc w:val="center"/>
                    <w:rPr>
                      <w:rFonts w:eastAsia="Times New Roman"/>
                      <w:b/>
                      <w:bCs/>
                      <w:sz w:val="26"/>
                      <w:szCs w:val="26"/>
                      <w:lang w:val="it-IT"/>
                    </w:rPr>
                  </w:pPr>
                </w:p>
                <w:p w:rsidR="007F450C" w:rsidRPr="00EE15ED" w:rsidRDefault="0010688A" w:rsidP="007F450C">
                  <w:pPr>
                    <w:spacing w:before="0" w:after="0"/>
                    <w:jc w:val="center"/>
                    <w:rPr>
                      <w:rFonts w:eastAsia="Times New Roman"/>
                      <w:b/>
                      <w:sz w:val="26"/>
                      <w:szCs w:val="26"/>
                      <w:lang w:val="it-IT"/>
                    </w:rPr>
                  </w:pPr>
                  <w:r>
                    <w:rPr>
                      <w:rFonts w:eastAsia="Times New Roman"/>
                      <w:b/>
                      <w:sz w:val="26"/>
                      <w:szCs w:val="26"/>
                      <w:lang w:val="it-IT"/>
                    </w:rPr>
                    <w:t>(Đã ký)</w:t>
                  </w:r>
                </w:p>
                <w:p w:rsidR="007F450C" w:rsidRPr="00EE15ED" w:rsidRDefault="007F450C" w:rsidP="007F450C">
                  <w:pPr>
                    <w:spacing w:before="0" w:after="0"/>
                    <w:rPr>
                      <w:rFonts w:eastAsia="Times New Roman"/>
                      <w:sz w:val="26"/>
                      <w:szCs w:val="26"/>
                      <w:lang w:val="it-IT"/>
                    </w:rPr>
                  </w:pPr>
                </w:p>
                <w:p w:rsidR="007F450C" w:rsidRPr="00EE15ED" w:rsidRDefault="007F450C" w:rsidP="007F450C">
                  <w:pPr>
                    <w:spacing w:before="0" w:after="0"/>
                    <w:rPr>
                      <w:rFonts w:eastAsia="Times New Roman"/>
                      <w:sz w:val="26"/>
                      <w:szCs w:val="26"/>
                      <w:lang w:val="it-IT"/>
                    </w:rPr>
                  </w:pPr>
                </w:p>
                <w:p w:rsidR="007F450C" w:rsidRPr="00EE15ED" w:rsidRDefault="007F450C" w:rsidP="007F450C">
                  <w:pPr>
                    <w:spacing w:before="0" w:after="0"/>
                    <w:jc w:val="center"/>
                    <w:rPr>
                      <w:rFonts w:eastAsia="Times New Roman"/>
                      <w:b/>
                      <w:szCs w:val="28"/>
                      <w:lang w:val="it-IT"/>
                    </w:rPr>
                  </w:pPr>
                </w:p>
                <w:p w:rsidR="007F450C" w:rsidRPr="00EE15ED" w:rsidRDefault="00935E33" w:rsidP="007F450C">
                  <w:pPr>
                    <w:spacing w:before="0" w:after="0"/>
                    <w:jc w:val="center"/>
                    <w:rPr>
                      <w:rFonts w:eastAsia="Times New Roman"/>
                      <w:b/>
                      <w:szCs w:val="28"/>
                      <w:lang w:val="it-IT"/>
                    </w:rPr>
                  </w:pPr>
                  <w:r>
                    <w:rPr>
                      <w:rFonts w:eastAsia="Times New Roman"/>
                      <w:b/>
                      <w:szCs w:val="28"/>
                      <w:lang w:val="it-IT"/>
                    </w:rPr>
                    <w:t>Hồ Đức Phớc</w:t>
                  </w:r>
                </w:p>
              </w:tc>
            </w:tr>
          </w:tbl>
          <w:p w:rsidR="008B5107" w:rsidRPr="00EE15ED" w:rsidRDefault="008B5107"/>
        </w:tc>
        <w:tc>
          <w:tcPr>
            <w:tcW w:w="9954" w:type="dxa"/>
            <w:shd w:val="clear" w:color="auto" w:fill="FFFFFF"/>
            <w:tcMar>
              <w:top w:w="0" w:type="dxa"/>
              <w:left w:w="108" w:type="dxa"/>
              <w:bottom w:w="0" w:type="dxa"/>
              <w:right w:w="108" w:type="dxa"/>
            </w:tcMar>
            <w:hideMark/>
          </w:tcPr>
          <w:tbl>
            <w:tblPr>
              <w:tblW w:w="9630" w:type="dxa"/>
              <w:tblInd w:w="108" w:type="dxa"/>
              <w:tblLook w:val="0000" w:firstRow="0" w:lastRow="0" w:firstColumn="0" w:lastColumn="0" w:noHBand="0" w:noVBand="0"/>
            </w:tblPr>
            <w:tblGrid>
              <w:gridCol w:w="4395"/>
              <w:gridCol w:w="5235"/>
            </w:tblGrid>
            <w:tr w:rsidR="008B5107" w:rsidRPr="005C11B5" w:rsidTr="004C2F3B">
              <w:trPr>
                <w:trHeight w:val="1259"/>
              </w:trPr>
              <w:tc>
                <w:tcPr>
                  <w:tcW w:w="4395" w:type="dxa"/>
                </w:tcPr>
                <w:p w:rsidR="008B5107" w:rsidRPr="00EE15ED" w:rsidRDefault="008B5107" w:rsidP="004C2F3B">
                  <w:pPr>
                    <w:spacing w:before="0" w:after="0"/>
                    <w:jc w:val="both"/>
                    <w:rPr>
                      <w:rFonts w:eastAsia="Times New Roman"/>
                      <w:b/>
                      <w:i/>
                      <w:sz w:val="24"/>
                      <w:szCs w:val="24"/>
                      <w:lang w:val="it-IT"/>
                    </w:rPr>
                  </w:pPr>
                  <w:r w:rsidRPr="00EE15ED">
                    <w:rPr>
                      <w:rFonts w:eastAsia="Times New Roman"/>
                      <w:b/>
                      <w:i/>
                      <w:sz w:val="24"/>
                      <w:szCs w:val="24"/>
                      <w:lang w:val="it-IT"/>
                    </w:rPr>
                    <w:t>Nơi nhận: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Như trên;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Thủ tướng Chính phủ, Phó Thủ tướng Lê Minh Khái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Bộ trưởng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Văn phòng Trung ương Đảng (để báo cáo Bộ Chính trị);</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xml:space="preserve">- Văn phòng Chính phủ (để phối hợp); </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Các đơn vị: TCT, PC, TCHQ;</w:t>
                  </w:r>
                </w:p>
                <w:p w:rsidR="008B5107" w:rsidRPr="00EE15ED" w:rsidRDefault="008B5107" w:rsidP="004C2F3B">
                  <w:pPr>
                    <w:spacing w:before="0" w:after="0"/>
                    <w:jc w:val="both"/>
                    <w:rPr>
                      <w:rFonts w:eastAsia="Times New Roman"/>
                      <w:b/>
                      <w:i/>
                      <w:sz w:val="23"/>
                      <w:szCs w:val="23"/>
                      <w:lang w:val="it-IT"/>
                    </w:rPr>
                  </w:pPr>
                  <w:r w:rsidRPr="00EE15ED">
                    <w:rPr>
                      <w:rFonts w:eastAsia="Times New Roman"/>
                      <w:bCs/>
                      <w:sz w:val="22"/>
                      <w:szCs w:val="28"/>
                      <w:lang w:val="it-IT"/>
                    </w:rPr>
                    <w:t>- Lưu: VT, CST(P2).</w:t>
                  </w:r>
                </w:p>
              </w:tc>
              <w:tc>
                <w:tcPr>
                  <w:tcW w:w="5235" w:type="dxa"/>
                </w:tcPr>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KT. BỘ TRƯỞNG</w:t>
                  </w:r>
                </w:p>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THỨ TRƯỞNG</w:t>
                  </w:r>
                </w:p>
                <w:p w:rsidR="008B5107" w:rsidRPr="00EE15ED" w:rsidRDefault="008B5107" w:rsidP="004C2F3B">
                  <w:pPr>
                    <w:spacing w:before="0" w:after="0"/>
                    <w:jc w:val="center"/>
                    <w:rPr>
                      <w:rFonts w:eastAsia="Times New Roman"/>
                      <w:b/>
                      <w:bCs/>
                      <w:sz w:val="26"/>
                      <w:szCs w:val="26"/>
                      <w:lang w:val="it-IT"/>
                    </w:rPr>
                  </w:pPr>
                </w:p>
                <w:p w:rsidR="008B5107" w:rsidRPr="00EE15ED" w:rsidRDefault="008B5107" w:rsidP="004C2F3B">
                  <w:pPr>
                    <w:spacing w:before="0" w:after="0"/>
                    <w:jc w:val="center"/>
                    <w:rPr>
                      <w:rFonts w:eastAsia="Times New Roman"/>
                      <w:b/>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jc w:val="center"/>
                    <w:rPr>
                      <w:rFonts w:eastAsia="Times New Roman"/>
                      <w:b/>
                      <w:szCs w:val="28"/>
                      <w:lang w:val="it-IT"/>
                    </w:rPr>
                  </w:pPr>
                </w:p>
                <w:p w:rsidR="008B5107" w:rsidRPr="00D40A08" w:rsidRDefault="008B5107" w:rsidP="004C2F3B">
                  <w:pPr>
                    <w:spacing w:before="0" w:after="0"/>
                    <w:jc w:val="center"/>
                    <w:rPr>
                      <w:rFonts w:eastAsia="Times New Roman"/>
                      <w:b/>
                      <w:szCs w:val="28"/>
                      <w:lang w:val="it-IT"/>
                    </w:rPr>
                  </w:pPr>
                  <w:r w:rsidRPr="00EE15ED">
                    <w:rPr>
                      <w:rFonts w:eastAsia="Times New Roman"/>
                      <w:b/>
                      <w:szCs w:val="28"/>
                      <w:lang w:val="it-IT"/>
                    </w:rPr>
                    <w:t>Võ Thành Hưng</w:t>
                  </w:r>
                </w:p>
              </w:tc>
            </w:tr>
          </w:tbl>
          <w:p w:rsidR="008B5107" w:rsidRPr="005C11B5" w:rsidRDefault="008B5107"/>
        </w:tc>
      </w:tr>
    </w:tbl>
    <w:p w:rsidR="00232766" w:rsidRPr="00B1221B" w:rsidRDefault="00232766" w:rsidP="00C65F67">
      <w:pPr>
        <w:spacing w:before="0" w:after="0"/>
        <w:jc w:val="both"/>
        <w:rPr>
          <w:rFonts w:eastAsia="Times New Roman"/>
          <w:i/>
          <w:szCs w:val="28"/>
          <w:lang w:val="en-US"/>
        </w:rPr>
      </w:pPr>
      <w:bookmarkStart w:id="1" w:name="_GoBack"/>
      <w:bookmarkEnd w:id="1"/>
    </w:p>
    <w:sectPr w:rsidR="00232766" w:rsidRPr="00B1221B" w:rsidSect="00700424">
      <w:headerReference w:type="default" r:id="rId8"/>
      <w:pgSz w:w="11906" w:h="16838" w:code="9"/>
      <w:pgMar w:top="1440" w:right="1296" w:bottom="1440" w:left="1728" w:header="461" w:footer="46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FC" w:rsidRDefault="000420FC" w:rsidP="00304222">
      <w:pPr>
        <w:spacing w:before="0" w:after="0"/>
      </w:pPr>
      <w:r>
        <w:separator/>
      </w:r>
    </w:p>
  </w:endnote>
  <w:endnote w:type="continuationSeparator" w:id="0">
    <w:p w:rsidR="000420FC" w:rsidRDefault="000420FC" w:rsidP="00304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FC" w:rsidRDefault="000420FC" w:rsidP="00304222">
      <w:pPr>
        <w:spacing w:before="0" w:after="0"/>
      </w:pPr>
      <w:r>
        <w:separator/>
      </w:r>
    </w:p>
  </w:footnote>
  <w:footnote w:type="continuationSeparator" w:id="0">
    <w:p w:rsidR="000420FC" w:rsidRDefault="000420FC" w:rsidP="00304222">
      <w:pPr>
        <w:spacing w:before="0" w:after="0"/>
      </w:pPr>
      <w:r>
        <w:continuationSeparator/>
      </w:r>
    </w:p>
  </w:footnote>
  <w:footnote w:id="1">
    <w:p w:rsidR="002F30D4" w:rsidRPr="00DD5185" w:rsidRDefault="002F30D4" w:rsidP="00575A90">
      <w:pPr>
        <w:pStyle w:val="FootnoteText"/>
        <w:rPr>
          <w:lang w:val="en-US"/>
        </w:rPr>
      </w:pPr>
      <w:r>
        <w:rPr>
          <w:rStyle w:val="FootnoteReference"/>
        </w:rPr>
        <w:footnoteRef/>
      </w:r>
      <w:r>
        <w:t xml:space="preserve"> </w:t>
      </w:r>
      <w:r w:rsidRPr="00F44289">
        <w:rPr>
          <w:bCs/>
          <w:color w:val="000000"/>
        </w:rPr>
        <w:t>Trong đó, GDP Quý I tăng 5,87%, Quý II tăng 7,09%, Quý III tăng 7,4%.</w:t>
      </w:r>
    </w:p>
  </w:footnote>
  <w:footnote w:id="2">
    <w:p w:rsidR="002F30D4" w:rsidRPr="009F297E" w:rsidRDefault="002F30D4" w:rsidP="008554C0">
      <w:pPr>
        <w:pStyle w:val="FootnoteText"/>
        <w:spacing w:before="20" w:after="20"/>
        <w:jc w:val="both"/>
      </w:pPr>
      <w:r w:rsidRPr="00BC5895">
        <w:rPr>
          <w:rStyle w:val="FootnoteReference"/>
        </w:rPr>
        <w:footnoteRef/>
      </w:r>
      <w:r>
        <w:rPr>
          <w:lang w:val="en-US"/>
        </w:rPr>
        <w:t xml:space="preserve"> </w:t>
      </w:r>
      <w:r w:rsidRPr="009F297E">
        <w:t>T</w:t>
      </w:r>
      <w:r w:rsidRPr="009F297E">
        <w:rPr>
          <w:bCs/>
          <w:color w:val="000000"/>
        </w:rPr>
        <w:t xml:space="preserve">ổng kim ngạch xuất, nhập khẩu hàng hóa </w:t>
      </w:r>
      <w:r>
        <w:rPr>
          <w:bCs/>
          <w:color w:val="000000"/>
          <w:lang w:val="en-US"/>
        </w:rPr>
        <w:t xml:space="preserve">mười tháng </w:t>
      </w:r>
      <w:r w:rsidRPr="009F297E">
        <w:rPr>
          <w:bCs/>
          <w:color w:val="000000"/>
        </w:rPr>
        <w:t xml:space="preserve">năm </w:t>
      </w:r>
      <w:r>
        <w:rPr>
          <w:bCs/>
          <w:color w:val="000000"/>
        </w:rPr>
        <w:t>202</w:t>
      </w:r>
      <w:r>
        <w:rPr>
          <w:bCs/>
          <w:color w:val="000000"/>
          <w:lang w:val="en-US"/>
        </w:rPr>
        <w:t>3</w:t>
      </w:r>
      <w:r w:rsidRPr="009F297E">
        <w:rPr>
          <w:bCs/>
          <w:color w:val="000000"/>
        </w:rPr>
        <w:t xml:space="preserve"> đạt </w:t>
      </w:r>
      <w:r>
        <w:rPr>
          <w:bCs/>
          <w:color w:val="000000"/>
          <w:lang w:val="en-US"/>
        </w:rPr>
        <w:t>559,3</w:t>
      </w:r>
      <w:r w:rsidRPr="009F297E">
        <w:rPr>
          <w:bCs/>
          <w:color w:val="000000"/>
        </w:rPr>
        <w:t xml:space="preserve"> tỷ USD, </w:t>
      </w:r>
      <w:r>
        <w:rPr>
          <w:bCs/>
          <w:color w:val="000000"/>
          <w:lang w:val="en-US"/>
        </w:rPr>
        <w:t>giảm</w:t>
      </w:r>
      <w:r w:rsidRPr="009F297E">
        <w:rPr>
          <w:bCs/>
          <w:color w:val="000000"/>
        </w:rPr>
        <w:t xml:space="preserve"> </w:t>
      </w:r>
      <w:r>
        <w:rPr>
          <w:bCs/>
          <w:color w:val="000000"/>
          <w:lang w:val="en-US"/>
        </w:rPr>
        <w:t>10,8</w:t>
      </w:r>
      <w:r w:rsidRPr="009F297E">
        <w:rPr>
          <w:bCs/>
          <w:color w:val="000000"/>
        </w:rPr>
        <w:t xml:space="preserve">% so với </w:t>
      </w:r>
      <w:r>
        <w:rPr>
          <w:bCs/>
          <w:color w:val="000000"/>
          <w:lang w:val="en-US"/>
        </w:rPr>
        <w:t xml:space="preserve">cùng kỳ </w:t>
      </w:r>
      <w:r w:rsidRPr="009F297E">
        <w:rPr>
          <w:bCs/>
          <w:color w:val="000000"/>
        </w:rPr>
        <w:t xml:space="preserve">năm trước, trong đó xuất khẩu đạt </w:t>
      </w:r>
      <w:r>
        <w:rPr>
          <w:bCs/>
          <w:color w:val="000000"/>
          <w:lang w:val="en-US"/>
        </w:rPr>
        <w:t>292</w:t>
      </w:r>
      <w:r w:rsidRPr="009F297E">
        <w:rPr>
          <w:bCs/>
          <w:color w:val="000000"/>
        </w:rPr>
        <w:t xml:space="preserve"> tỷ USD, </w:t>
      </w:r>
      <w:r>
        <w:rPr>
          <w:bCs/>
          <w:color w:val="000000"/>
          <w:lang w:val="en-US"/>
        </w:rPr>
        <w:t>giảm</w:t>
      </w:r>
      <w:r w:rsidRPr="009F297E">
        <w:rPr>
          <w:bCs/>
          <w:color w:val="000000"/>
        </w:rPr>
        <w:t xml:space="preserve"> </w:t>
      </w:r>
      <w:r>
        <w:rPr>
          <w:bCs/>
          <w:color w:val="000000"/>
          <w:lang w:val="en-US"/>
        </w:rPr>
        <w:t>6,8</w:t>
      </w:r>
      <w:r w:rsidRPr="009F297E">
        <w:rPr>
          <w:bCs/>
          <w:color w:val="000000"/>
        </w:rPr>
        <w:t xml:space="preserve">%; nhập khẩu đạt </w:t>
      </w:r>
      <w:r>
        <w:rPr>
          <w:bCs/>
          <w:color w:val="000000"/>
          <w:lang w:val="en-US"/>
        </w:rPr>
        <w:t>267,3</w:t>
      </w:r>
      <w:r w:rsidRPr="009F297E">
        <w:rPr>
          <w:bCs/>
          <w:color w:val="000000"/>
        </w:rPr>
        <w:t xml:space="preserve"> tỷ USD, </w:t>
      </w:r>
      <w:r>
        <w:rPr>
          <w:bCs/>
          <w:color w:val="000000"/>
          <w:lang w:val="en-US"/>
        </w:rPr>
        <w:t>giảm</w:t>
      </w:r>
      <w:r>
        <w:rPr>
          <w:bCs/>
          <w:color w:val="000000"/>
        </w:rPr>
        <w:t xml:space="preserve"> 14,8</w:t>
      </w:r>
      <w:r w:rsidRPr="009F297E">
        <w:rPr>
          <w:bCs/>
          <w:color w:val="000000"/>
        </w:rPr>
        <w:t>%.</w:t>
      </w:r>
    </w:p>
  </w:footnote>
  <w:footnote w:id="3">
    <w:p w:rsidR="002F30D4" w:rsidRPr="00710BE5" w:rsidRDefault="002F30D4" w:rsidP="000E6691">
      <w:pPr>
        <w:pStyle w:val="FootnoteText"/>
        <w:jc w:val="both"/>
        <w:rPr>
          <w:sz w:val="22"/>
          <w:szCs w:val="22"/>
          <w:lang w:val="en-US"/>
        </w:rPr>
      </w:pPr>
      <w:r w:rsidRPr="00164CBA">
        <w:rPr>
          <w:rStyle w:val="FootnoteReference"/>
          <w:sz w:val="22"/>
          <w:szCs w:val="22"/>
        </w:rPr>
        <w:footnoteRef/>
      </w:r>
      <w:r w:rsidRPr="00164CBA">
        <w:rPr>
          <w:sz w:val="22"/>
          <w:szCs w:val="22"/>
        </w:rPr>
        <w:t xml:space="preserve"> </w:t>
      </w:r>
      <w:r w:rsidRPr="000D1C23">
        <w:rPr>
          <w:color w:val="000000"/>
          <w:lang w:eastAsia="vi-VN"/>
        </w:rPr>
        <w:t>Kết thúc năm ngân sách, trường hợp ngân sách địa phương hụt thu so với dự toán do nguyên nhân khách quan, sau khi đã thực hiện điều chỉnh giảm một số khoản chi theo quy định tại khoản 1 Điều này và sử dụng các nguồn lực tài chính hợp pháp khác của địa phương mà chưa bảo đảm được cân đối ngân sách địa phương thì ngân sách </w:t>
      </w:r>
      <w:r w:rsidRPr="000D1C23">
        <w:rPr>
          <w:color w:val="000000"/>
          <w:shd w:val="clear" w:color="auto" w:fill="FFFFFF"/>
          <w:lang w:eastAsia="vi-VN"/>
        </w:rPr>
        <w:t>cấp</w:t>
      </w:r>
      <w:r w:rsidRPr="000D1C23">
        <w:rPr>
          <w:color w:val="000000"/>
          <w:lang w:eastAsia="vi-VN"/>
        </w:rPr>
        <w:t> trên </w:t>
      </w:r>
      <w:r w:rsidRPr="000D1C23">
        <w:rPr>
          <w:color w:val="000000"/>
          <w:shd w:val="clear" w:color="auto" w:fill="FFFFFF"/>
          <w:lang w:eastAsia="vi-VN"/>
        </w:rPr>
        <w:t>hỗ trợ</w:t>
      </w:r>
      <w:r w:rsidRPr="000D1C23">
        <w:rPr>
          <w:color w:val="000000"/>
          <w:lang w:eastAsia="vi-VN"/>
        </w:rPr>
        <w:t> ngân sách </w:t>
      </w:r>
      <w:r w:rsidRPr="000D1C23">
        <w:rPr>
          <w:color w:val="000000"/>
          <w:shd w:val="clear" w:color="auto" w:fill="FFFFFF"/>
          <w:lang w:eastAsia="vi-VN"/>
        </w:rPr>
        <w:t>cấp</w:t>
      </w:r>
      <w:r w:rsidRPr="000D1C23">
        <w:rPr>
          <w:color w:val="000000"/>
          <w:lang w:eastAsia="vi-VN"/>
        </w:rPr>
        <w:t> dưới theo khả năng của ngân sách cấ</w:t>
      </w:r>
      <w:r w:rsidR="00710BE5">
        <w:rPr>
          <w:color w:val="000000"/>
          <w:lang w:eastAsia="vi-VN"/>
        </w:rPr>
        <w:t>p trên</w:t>
      </w:r>
      <w:r w:rsidRPr="000D1C23">
        <w:rPr>
          <w:color w:val="000000"/>
          <w:lang w:eastAsia="vi-VN"/>
        </w:rPr>
        <w:t xml:space="preserve"> (khoả</w:t>
      </w:r>
      <w:r w:rsidR="00710BE5">
        <w:rPr>
          <w:color w:val="000000"/>
          <w:lang w:eastAsia="vi-VN"/>
        </w:rPr>
        <w:t>n 3</w:t>
      </w:r>
      <w:r w:rsidRPr="000D1C23">
        <w:rPr>
          <w:color w:val="000000"/>
          <w:lang w:eastAsia="vi-VN"/>
        </w:rPr>
        <w:t xml:space="preserve"> </w:t>
      </w:r>
      <w:r w:rsidR="00710BE5">
        <w:rPr>
          <w:color w:val="000000"/>
          <w:lang w:val="en-US" w:eastAsia="vi-VN"/>
        </w:rPr>
        <w:t>Đ</w:t>
      </w:r>
      <w:r w:rsidRPr="000D1C23">
        <w:rPr>
          <w:color w:val="000000"/>
          <w:lang w:eastAsia="vi-VN"/>
        </w:rPr>
        <w:t>iều 59 Luật NSNN)</w:t>
      </w:r>
      <w:r w:rsidR="00710BE5">
        <w:rPr>
          <w:color w:val="000000"/>
          <w:lang w:val="en-US" w:eastAsia="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0D4" w:rsidRDefault="005C4D4E">
    <w:pPr>
      <w:pStyle w:val="Header"/>
      <w:jc w:val="center"/>
    </w:pPr>
    <w:r w:rsidRPr="00471089">
      <w:rPr>
        <w:sz w:val="24"/>
        <w:szCs w:val="24"/>
      </w:rPr>
      <w:fldChar w:fldCharType="begin"/>
    </w:r>
    <w:r w:rsidR="002F30D4" w:rsidRPr="00471089">
      <w:rPr>
        <w:sz w:val="24"/>
        <w:szCs w:val="24"/>
      </w:rPr>
      <w:instrText xml:space="preserve"> PAGE   \* MERGEFORMAT </w:instrText>
    </w:r>
    <w:r w:rsidRPr="00471089">
      <w:rPr>
        <w:sz w:val="24"/>
        <w:szCs w:val="24"/>
      </w:rPr>
      <w:fldChar w:fldCharType="separate"/>
    </w:r>
    <w:r w:rsidR="00676AF9">
      <w:rPr>
        <w:noProof/>
        <w:sz w:val="24"/>
        <w:szCs w:val="24"/>
      </w:rPr>
      <w:t>12</w:t>
    </w:r>
    <w:r w:rsidRPr="00471089">
      <w:rPr>
        <w:sz w:val="24"/>
        <w:szCs w:val="24"/>
      </w:rPr>
      <w:fldChar w:fldCharType="end"/>
    </w:r>
  </w:p>
  <w:p w:rsidR="002F30D4" w:rsidRDefault="002F30D4" w:rsidP="00592DBD">
    <w:pPr>
      <w:pStyle w:val="Header"/>
      <w:tabs>
        <w:tab w:val="clear" w:pos="4513"/>
        <w:tab w:val="clear" w:pos="9026"/>
        <w:tab w:val="left" w:pos="2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DA0"/>
    <w:multiLevelType w:val="hybridMultilevel"/>
    <w:tmpl w:val="8B80112A"/>
    <w:lvl w:ilvl="0" w:tplc="B2FC25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31B41000"/>
    <w:multiLevelType w:val="hybridMultilevel"/>
    <w:tmpl w:val="2618B878"/>
    <w:lvl w:ilvl="0" w:tplc="8B023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8FC54C1"/>
    <w:multiLevelType w:val="hybridMultilevel"/>
    <w:tmpl w:val="35D0F0A4"/>
    <w:lvl w:ilvl="0" w:tplc="04F4518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0A8"/>
    <w:rsid w:val="00001138"/>
    <w:rsid w:val="000037BC"/>
    <w:rsid w:val="000049F8"/>
    <w:rsid w:val="00006086"/>
    <w:rsid w:val="000076E1"/>
    <w:rsid w:val="000105E5"/>
    <w:rsid w:val="00011180"/>
    <w:rsid w:val="0001438A"/>
    <w:rsid w:val="000160E9"/>
    <w:rsid w:val="00017298"/>
    <w:rsid w:val="00022E54"/>
    <w:rsid w:val="00022F21"/>
    <w:rsid w:val="00023643"/>
    <w:rsid w:val="0002599F"/>
    <w:rsid w:val="00034456"/>
    <w:rsid w:val="00035559"/>
    <w:rsid w:val="00036EAE"/>
    <w:rsid w:val="000404B2"/>
    <w:rsid w:val="00041282"/>
    <w:rsid w:val="00041B64"/>
    <w:rsid w:val="000420FC"/>
    <w:rsid w:val="00043F36"/>
    <w:rsid w:val="000478B5"/>
    <w:rsid w:val="000509A3"/>
    <w:rsid w:val="00061E3D"/>
    <w:rsid w:val="0006200C"/>
    <w:rsid w:val="00062279"/>
    <w:rsid w:val="00062785"/>
    <w:rsid w:val="00064893"/>
    <w:rsid w:val="0006711E"/>
    <w:rsid w:val="00074522"/>
    <w:rsid w:val="00081D82"/>
    <w:rsid w:val="00085DA0"/>
    <w:rsid w:val="00091B26"/>
    <w:rsid w:val="000964C4"/>
    <w:rsid w:val="000970AE"/>
    <w:rsid w:val="000A0B82"/>
    <w:rsid w:val="000A1781"/>
    <w:rsid w:val="000A3363"/>
    <w:rsid w:val="000A35F8"/>
    <w:rsid w:val="000A5B34"/>
    <w:rsid w:val="000A5E99"/>
    <w:rsid w:val="000A7523"/>
    <w:rsid w:val="000B1B8A"/>
    <w:rsid w:val="000B56A7"/>
    <w:rsid w:val="000B78AA"/>
    <w:rsid w:val="000C0D47"/>
    <w:rsid w:val="000C7899"/>
    <w:rsid w:val="000C7DF8"/>
    <w:rsid w:val="000D0BF0"/>
    <w:rsid w:val="000D1C23"/>
    <w:rsid w:val="000D49BA"/>
    <w:rsid w:val="000D7D65"/>
    <w:rsid w:val="000E15F6"/>
    <w:rsid w:val="000E1D7E"/>
    <w:rsid w:val="000E1FFC"/>
    <w:rsid w:val="000E5CB5"/>
    <w:rsid w:val="000E5E6D"/>
    <w:rsid w:val="000E6691"/>
    <w:rsid w:val="000E7E6C"/>
    <w:rsid w:val="000F242F"/>
    <w:rsid w:val="000F47B7"/>
    <w:rsid w:val="000F7973"/>
    <w:rsid w:val="001013D0"/>
    <w:rsid w:val="001032A2"/>
    <w:rsid w:val="0010405B"/>
    <w:rsid w:val="001066AD"/>
    <w:rsid w:val="0010688A"/>
    <w:rsid w:val="0010737B"/>
    <w:rsid w:val="00107CE4"/>
    <w:rsid w:val="00112C6C"/>
    <w:rsid w:val="001215DD"/>
    <w:rsid w:val="0012430A"/>
    <w:rsid w:val="001272C6"/>
    <w:rsid w:val="001273F6"/>
    <w:rsid w:val="00127C88"/>
    <w:rsid w:val="00133760"/>
    <w:rsid w:val="001344D9"/>
    <w:rsid w:val="001374A2"/>
    <w:rsid w:val="001410CD"/>
    <w:rsid w:val="0014238C"/>
    <w:rsid w:val="00142FC2"/>
    <w:rsid w:val="00144EAC"/>
    <w:rsid w:val="001473BD"/>
    <w:rsid w:val="00155B7C"/>
    <w:rsid w:val="001565D4"/>
    <w:rsid w:val="0015697F"/>
    <w:rsid w:val="00164595"/>
    <w:rsid w:val="00165955"/>
    <w:rsid w:val="00165A3C"/>
    <w:rsid w:val="00166B36"/>
    <w:rsid w:val="00167294"/>
    <w:rsid w:val="001707A8"/>
    <w:rsid w:val="001720DF"/>
    <w:rsid w:val="001724DF"/>
    <w:rsid w:val="001736B5"/>
    <w:rsid w:val="001755F8"/>
    <w:rsid w:val="00182344"/>
    <w:rsid w:val="00183239"/>
    <w:rsid w:val="00186C9E"/>
    <w:rsid w:val="00186D88"/>
    <w:rsid w:val="001914DE"/>
    <w:rsid w:val="00194CAF"/>
    <w:rsid w:val="001A00D9"/>
    <w:rsid w:val="001A0142"/>
    <w:rsid w:val="001A3B2E"/>
    <w:rsid w:val="001A699E"/>
    <w:rsid w:val="001A7B4D"/>
    <w:rsid w:val="001B0099"/>
    <w:rsid w:val="001B3AE8"/>
    <w:rsid w:val="001C4F83"/>
    <w:rsid w:val="001D0C09"/>
    <w:rsid w:val="001D329A"/>
    <w:rsid w:val="001D3335"/>
    <w:rsid w:val="001D4EC0"/>
    <w:rsid w:val="001D590B"/>
    <w:rsid w:val="001D6D09"/>
    <w:rsid w:val="001D793C"/>
    <w:rsid w:val="001E0DCD"/>
    <w:rsid w:val="001E22A6"/>
    <w:rsid w:val="001E2A6D"/>
    <w:rsid w:val="001E5BAB"/>
    <w:rsid w:val="001E7B03"/>
    <w:rsid w:val="001F3DED"/>
    <w:rsid w:val="001F4129"/>
    <w:rsid w:val="001F5C18"/>
    <w:rsid w:val="001F6001"/>
    <w:rsid w:val="001F77E6"/>
    <w:rsid w:val="001F7EB8"/>
    <w:rsid w:val="00201037"/>
    <w:rsid w:val="002029AB"/>
    <w:rsid w:val="00203F69"/>
    <w:rsid w:val="002043AF"/>
    <w:rsid w:val="002108F2"/>
    <w:rsid w:val="00213480"/>
    <w:rsid w:val="002137DE"/>
    <w:rsid w:val="00215CC8"/>
    <w:rsid w:val="00217D0A"/>
    <w:rsid w:val="00221DCE"/>
    <w:rsid w:val="00222A1F"/>
    <w:rsid w:val="0022751E"/>
    <w:rsid w:val="0023181C"/>
    <w:rsid w:val="002323C3"/>
    <w:rsid w:val="002326A4"/>
    <w:rsid w:val="00232749"/>
    <w:rsid w:val="00232766"/>
    <w:rsid w:val="002329B0"/>
    <w:rsid w:val="0023481E"/>
    <w:rsid w:val="002355D7"/>
    <w:rsid w:val="00237152"/>
    <w:rsid w:val="00242E2C"/>
    <w:rsid w:val="00243755"/>
    <w:rsid w:val="002509DD"/>
    <w:rsid w:val="00260966"/>
    <w:rsid w:val="002634D9"/>
    <w:rsid w:val="002678AB"/>
    <w:rsid w:val="0027022F"/>
    <w:rsid w:val="0027048D"/>
    <w:rsid w:val="00270E13"/>
    <w:rsid w:val="00272430"/>
    <w:rsid w:val="002735DD"/>
    <w:rsid w:val="0027633A"/>
    <w:rsid w:val="0027644D"/>
    <w:rsid w:val="0027693A"/>
    <w:rsid w:val="00284CF1"/>
    <w:rsid w:val="0029125B"/>
    <w:rsid w:val="00296E17"/>
    <w:rsid w:val="00297BFE"/>
    <w:rsid w:val="002A6992"/>
    <w:rsid w:val="002B0EA7"/>
    <w:rsid w:val="002B22F6"/>
    <w:rsid w:val="002B56AF"/>
    <w:rsid w:val="002B7E0A"/>
    <w:rsid w:val="002C3188"/>
    <w:rsid w:val="002C47AA"/>
    <w:rsid w:val="002C6A16"/>
    <w:rsid w:val="002D2B17"/>
    <w:rsid w:val="002D3162"/>
    <w:rsid w:val="002D4192"/>
    <w:rsid w:val="002D764F"/>
    <w:rsid w:val="002D7AAE"/>
    <w:rsid w:val="002E0D1D"/>
    <w:rsid w:val="002E1D23"/>
    <w:rsid w:val="002E20EE"/>
    <w:rsid w:val="002F053F"/>
    <w:rsid w:val="002F16F8"/>
    <w:rsid w:val="002F1C75"/>
    <w:rsid w:val="002F1E8F"/>
    <w:rsid w:val="002F22BF"/>
    <w:rsid w:val="002F30D4"/>
    <w:rsid w:val="002F7103"/>
    <w:rsid w:val="00300366"/>
    <w:rsid w:val="00300F33"/>
    <w:rsid w:val="003013CD"/>
    <w:rsid w:val="00304222"/>
    <w:rsid w:val="003055FD"/>
    <w:rsid w:val="003102F3"/>
    <w:rsid w:val="00311641"/>
    <w:rsid w:val="00311BF5"/>
    <w:rsid w:val="00314C77"/>
    <w:rsid w:val="00317238"/>
    <w:rsid w:val="00317318"/>
    <w:rsid w:val="003237FE"/>
    <w:rsid w:val="003265B5"/>
    <w:rsid w:val="00326FCF"/>
    <w:rsid w:val="003271A7"/>
    <w:rsid w:val="003324BE"/>
    <w:rsid w:val="003348DF"/>
    <w:rsid w:val="0033645D"/>
    <w:rsid w:val="00337AAB"/>
    <w:rsid w:val="00343D5A"/>
    <w:rsid w:val="00344EBC"/>
    <w:rsid w:val="00345E4D"/>
    <w:rsid w:val="0035363F"/>
    <w:rsid w:val="00353A20"/>
    <w:rsid w:val="003540BE"/>
    <w:rsid w:val="00363123"/>
    <w:rsid w:val="00366797"/>
    <w:rsid w:val="00367D51"/>
    <w:rsid w:val="00370A12"/>
    <w:rsid w:val="0037546F"/>
    <w:rsid w:val="00381289"/>
    <w:rsid w:val="00382CC2"/>
    <w:rsid w:val="00383E5A"/>
    <w:rsid w:val="003878D9"/>
    <w:rsid w:val="00391904"/>
    <w:rsid w:val="003935A3"/>
    <w:rsid w:val="00397853"/>
    <w:rsid w:val="003A1F28"/>
    <w:rsid w:val="003A372A"/>
    <w:rsid w:val="003A676D"/>
    <w:rsid w:val="003B14C1"/>
    <w:rsid w:val="003B2119"/>
    <w:rsid w:val="003B7214"/>
    <w:rsid w:val="003C0CC0"/>
    <w:rsid w:val="003C26DF"/>
    <w:rsid w:val="003C2EEB"/>
    <w:rsid w:val="003C3800"/>
    <w:rsid w:val="003C4DFE"/>
    <w:rsid w:val="003C5E35"/>
    <w:rsid w:val="003D089E"/>
    <w:rsid w:val="003D1CE6"/>
    <w:rsid w:val="003D2D65"/>
    <w:rsid w:val="003D4D5C"/>
    <w:rsid w:val="003D61E6"/>
    <w:rsid w:val="003E0E4D"/>
    <w:rsid w:val="003E19BA"/>
    <w:rsid w:val="003E19CF"/>
    <w:rsid w:val="003E523A"/>
    <w:rsid w:val="003E5D61"/>
    <w:rsid w:val="003F0564"/>
    <w:rsid w:val="003F0EFD"/>
    <w:rsid w:val="003F3E72"/>
    <w:rsid w:val="003F71C1"/>
    <w:rsid w:val="00401B9D"/>
    <w:rsid w:val="004061D5"/>
    <w:rsid w:val="00417AF8"/>
    <w:rsid w:val="00422EAD"/>
    <w:rsid w:val="00425A06"/>
    <w:rsid w:val="0043194E"/>
    <w:rsid w:val="00434F05"/>
    <w:rsid w:val="004366AC"/>
    <w:rsid w:val="00440289"/>
    <w:rsid w:val="00440F58"/>
    <w:rsid w:val="00440FF6"/>
    <w:rsid w:val="004424BB"/>
    <w:rsid w:val="00442614"/>
    <w:rsid w:val="00443D1B"/>
    <w:rsid w:val="00446CC7"/>
    <w:rsid w:val="004511B3"/>
    <w:rsid w:val="00456972"/>
    <w:rsid w:val="00457CCF"/>
    <w:rsid w:val="0046227D"/>
    <w:rsid w:val="004627D6"/>
    <w:rsid w:val="00464756"/>
    <w:rsid w:val="00465871"/>
    <w:rsid w:val="00465AFE"/>
    <w:rsid w:val="00471089"/>
    <w:rsid w:val="00471384"/>
    <w:rsid w:val="00471980"/>
    <w:rsid w:val="004744B1"/>
    <w:rsid w:val="00475162"/>
    <w:rsid w:val="00481409"/>
    <w:rsid w:val="0048560B"/>
    <w:rsid w:val="00487E2C"/>
    <w:rsid w:val="004A20CB"/>
    <w:rsid w:val="004A4C46"/>
    <w:rsid w:val="004A556D"/>
    <w:rsid w:val="004A58FF"/>
    <w:rsid w:val="004B32E3"/>
    <w:rsid w:val="004B66F5"/>
    <w:rsid w:val="004B6A8F"/>
    <w:rsid w:val="004B7C8B"/>
    <w:rsid w:val="004B7FF7"/>
    <w:rsid w:val="004C07B4"/>
    <w:rsid w:val="004C08E6"/>
    <w:rsid w:val="004C17E6"/>
    <w:rsid w:val="004C2BFC"/>
    <w:rsid w:val="004C2F3B"/>
    <w:rsid w:val="004C6815"/>
    <w:rsid w:val="004D1C46"/>
    <w:rsid w:val="004D69DF"/>
    <w:rsid w:val="004D6BAF"/>
    <w:rsid w:val="004E07A2"/>
    <w:rsid w:val="004E1D48"/>
    <w:rsid w:val="004E215A"/>
    <w:rsid w:val="004E4CE0"/>
    <w:rsid w:val="004E75E0"/>
    <w:rsid w:val="004E7FC1"/>
    <w:rsid w:val="004F4DD0"/>
    <w:rsid w:val="004F673E"/>
    <w:rsid w:val="00501565"/>
    <w:rsid w:val="005056E7"/>
    <w:rsid w:val="005073DA"/>
    <w:rsid w:val="00507F96"/>
    <w:rsid w:val="005121D8"/>
    <w:rsid w:val="00512A44"/>
    <w:rsid w:val="00513281"/>
    <w:rsid w:val="005147B9"/>
    <w:rsid w:val="00520049"/>
    <w:rsid w:val="00520F0A"/>
    <w:rsid w:val="00522EFE"/>
    <w:rsid w:val="00525DF5"/>
    <w:rsid w:val="0052647F"/>
    <w:rsid w:val="005270A8"/>
    <w:rsid w:val="00530876"/>
    <w:rsid w:val="00532B97"/>
    <w:rsid w:val="005339B9"/>
    <w:rsid w:val="00533AD0"/>
    <w:rsid w:val="0053448C"/>
    <w:rsid w:val="00541C18"/>
    <w:rsid w:val="00543262"/>
    <w:rsid w:val="00547DCA"/>
    <w:rsid w:val="00550771"/>
    <w:rsid w:val="005518B0"/>
    <w:rsid w:val="005521EB"/>
    <w:rsid w:val="005565D4"/>
    <w:rsid w:val="00557FE5"/>
    <w:rsid w:val="00560202"/>
    <w:rsid w:val="00561C64"/>
    <w:rsid w:val="00561E80"/>
    <w:rsid w:val="00562558"/>
    <w:rsid w:val="0056421C"/>
    <w:rsid w:val="00564B21"/>
    <w:rsid w:val="00565E18"/>
    <w:rsid w:val="00567BEC"/>
    <w:rsid w:val="0057014A"/>
    <w:rsid w:val="00570C2E"/>
    <w:rsid w:val="00571ED5"/>
    <w:rsid w:val="00572BB9"/>
    <w:rsid w:val="00573391"/>
    <w:rsid w:val="00575171"/>
    <w:rsid w:val="00575A90"/>
    <w:rsid w:val="00576715"/>
    <w:rsid w:val="005819C0"/>
    <w:rsid w:val="00582B7F"/>
    <w:rsid w:val="00583AA4"/>
    <w:rsid w:val="00585E44"/>
    <w:rsid w:val="00586E8A"/>
    <w:rsid w:val="00592859"/>
    <w:rsid w:val="00592D8E"/>
    <w:rsid w:val="00592DBD"/>
    <w:rsid w:val="00593909"/>
    <w:rsid w:val="0059768E"/>
    <w:rsid w:val="005A0737"/>
    <w:rsid w:val="005A1588"/>
    <w:rsid w:val="005A1C14"/>
    <w:rsid w:val="005A2FB1"/>
    <w:rsid w:val="005A5891"/>
    <w:rsid w:val="005B2F37"/>
    <w:rsid w:val="005B34D6"/>
    <w:rsid w:val="005B6DEF"/>
    <w:rsid w:val="005C11B5"/>
    <w:rsid w:val="005C1278"/>
    <w:rsid w:val="005C2839"/>
    <w:rsid w:val="005C3E16"/>
    <w:rsid w:val="005C4D4E"/>
    <w:rsid w:val="005C5383"/>
    <w:rsid w:val="005C793A"/>
    <w:rsid w:val="005D2F89"/>
    <w:rsid w:val="005D42F8"/>
    <w:rsid w:val="005D6593"/>
    <w:rsid w:val="005D67BA"/>
    <w:rsid w:val="005E4BE2"/>
    <w:rsid w:val="005E6F57"/>
    <w:rsid w:val="005F170D"/>
    <w:rsid w:val="00600359"/>
    <w:rsid w:val="00602CDA"/>
    <w:rsid w:val="00603244"/>
    <w:rsid w:val="00605155"/>
    <w:rsid w:val="0060531D"/>
    <w:rsid w:val="00605983"/>
    <w:rsid w:val="00611BA4"/>
    <w:rsid w:val="006132E5"/>
    <w:rsid w:val="00616AD2"/>
    <w:rsid w:val="006204CB"/>
    <w:rsid w:val="0062085C"/>
    <w:rsid w:val="00621E25"/>
    <w:rsid w:val="006246C2"/>
    <w:rsid w:val="00626453"/>
    <w:rsid w:val="00626CBC"/>
    <w:rsid w:val="00636007"/>
    <w:rsid w:val="00636ABC"/>
    <w:rsid w:val="006406D1"/>
    <w:rsid w:val="00640B7C"/>
    <w:rsid w:val="0064459C"/>
    <w:rsid w:val="00646E1E"/>
    <w:rsid w:val="00650A00"/>
    <w:rsid w:val="00650A57"/>
    <w:rsid w:val="00654203"/>
    <w:rsid w:val="00656037"/>
    <w:rsid w:val="00656E96"/>
    <w:rsid w:val="006619E4"/>
    <w:rsid w:val="006626C7"/>
    <w:rsid w:val="00662AF9"/>
    <w:rsid w:val="00663F63"/>
    <w:rsid w:val="0066465C"/>
    <w:rsid w:val="006672B7"/>
    <w:rsid w:val="00671A6B"/>
    <w:rsid w:val="00676AF9"/>
    <w:rsid w:val="006778B8"/>
    <w:rsid w:val="00681459"/>
    <w:rsid w:val="006816A0"/>
    <w:rsid w:val="006817A3"/>
    <w:rsid w:val="00681ED6"/>
    <w:rsid w:val="006839AC"/>
    <w:rsid w:val="00683C4C"/>
    <w:rsid w:val="0068753E"/>
    <w:rsid w:val="0069086D"/>
    <w:rsid w:val="006939CA"/>
    <w:rsid w:val="00693A59"/>
    <w:rsid w:val="00697B75"/>
    <w:rsid w:val="006A0849"/>
    <w:rsid w:val="006A281A"/>
    <w:rsid w:val="006A5261"/>
    <w:rsid w:val="006A6292"/>
    <w:rsid w:val="006A7FCC"/>
    <w:rsid w:val="006C037A"/>
    <w:rsid w:val="006C315B"/>
    <w:rsid w:val="006C42E3"/>
    <w:rsid w:val="006C6102"/>
    <w:rsid w:val="006C6AD3"/>
    <w:rsid w:val="006D1539"/>
    <w:rsid w:val="006D2231"/>
    <w:rsid w:val="006D5EA1"/>
    <w:rsid w:val="006E23C9"/>
    <w:rsid w:val="006E3751"/>
    <w:rsid w:val="006E4D87"/>
    <w:rsid w:val="006E665F"/>
    <w:rsid w:val="006E73E4"/>
    <w:rsid w:val="006E7BDA"/>
    <w:rsid w:val="006F0823"/>
    <w:rsid w:val="006F3715"/>
    <w:rsid w:val="006F3C9B"/>
    <w:rsid w:val="006F3D5E"/>
    <w:rsid w:val="006F66F2"/>
    <w:rsid w:val="006F6805"/>
    <w:rsid w:val="006F6A7A"/>
    <w:rsid w:val="00700424"/>
    <w:rsid w:val="00700FEF"/>
    <w:rsid w:val="00703BBA"/>
    <w:rsid w:val="00703C17"/>
    <w:rsid w:val="00705D76"/>
    <w:rsid w:val="00705EAC"/>
    <w:rsid w:val="00706712"/>
    <w:rsid w:val="007079B9"/>
    <w:rsid w:val="00710BE5"/>
    <w:rsid w:val="00710D5F"/>
    <w:rsid w:val="00714BA8"/>
    <w:rsid w:val="00716A22"/>
    <w:rsid w:val="00721A0B"/>
    <w:rsid w:val="007232C1"/>
    <w:rsid w:val="0072480C"/>
    <w:rsid w:val="00725F4B"/>
    <w:rsid w:val="007277F9"/>
    <w:rsid w:val="007278A6"/>
    <w:rsid w:val="0073514B"/>
    <w:rsid w:val="00740515"/>
    <w:rsid w:val="00740DE6"/>
    <w:rsid w:val="007417E2"/>
    <w:rsid w:val="00742B23"/>
    <w:rsid w:val="007439F2"/>
    <w:rsid w:val="007441EC"/>
    <w:rsid w:val="007513EE"/>
    <w:rsid w:val="00753A48"/>
    <w:rsid w:val="0075442D"/>
    <w:rsid w:val="007562D4"/>
    <w:rsid w:val="00756BE1"/>
    <w:rsid w:val="00756DC3"/>
    <w:rsid w:val="00757A33"/>
    <w:rsid w:val="007605ED"/>
    <w:rsid w:val="00762503"/>
    <w:rsid w:val="0076293F"/>
    <w:rsid w:val="007636FD"/>
    <w:rsid w:val="007700F2"/>
    <w:rsid w:val="00771F33"/>
    <w:rsid w:val="00780405"/>
    <w:rsid w:val="00797798"/>
    <w:rsid w:val="00797C0C"/>
    <w:rsid w:val="00797FC7"/>
    <w:rsid w:val="007A0A44"/>
    <w:rsid w:val="007A124C"/>
    <w:rsid w:val="007A3A10"/>
    <w:rsid w:val="007A4D29"/>
    <w:rsid w:val="007A7A71"/>
    <w:rsid w:val="007B0AFF"/>
    <w:rsid w:val="007B2A6A"/>
    <w:rsid w:val="007B418B"/>
    <w:rsid w:val="007B4BF1"/>
    <w:rsid w:val="007B7CB5"/>
    <w:rsid w:val="007C10BC"/>
    <w:rsid w:val="007C13E7"/>
    <w:rsid w:val="007C38D0"/>
    <w:rsid w:val="007D43E5"/>
    <w:rsid w:val="007E09E9"/>
    <w:rsid w:val="007E0A8E"/>
    <w:rsid w:val="007E5F28"/>
    <w:rsid w:val="007E76F5"/>
    <w:rsid w:val="007F0516"/>
    <w:rsid w:val="007F24EF"/>
    <w:rsid w:val="007F450C"/>
    <w:rsid w:val="007F4763"/>
    <w:rsid w:val="007F6272"/>
    <w:rsid w:val="007F6752"/>
    <w:rsid w:val="0080459F"/>
    <w:rsid w:val="00811A41"/>
    <w:rsid w:val="008151A4"/>
    <w:rsid w:val="008157A1"/>
    <w:rsid w:val="00816087"/>
    <w:rsid w:val="0082036B"/>
    <w:rsid w:val="00821A5E"/>
    <w:rsid w:val="00824285"/>
    <w:rsid w:val="00830089"/>
    <w:rsid w:val="008318B6"/>
    <w:rsid w:val="00832887"/>
    <w:rsid w:val="00833E19"/>
    <w:rsid w:val="008341FC"/>
    <w:rsid w:val="00835503"/>
    <w:rsid w:val="00837E99"/>
    <w:rsid w:val="008411AC"/>
    <w:rsid w:val="00841FFF"/>
    <w:rsid w:val="00845F3F"/>
    <w:rsid w:val="00847783"/>
    <w:rsid w:val="008511D1"/>
    <w:rsid w:val="008533E1"/>
    <w:rsid w:val="008534BB"/>
    <w:rsid w:val="008554C0"/>
    <w:rsid w:val="008571DD"/>
    <w:rsid w:val="00857EEC"/>
    <w:rsid w:val="00860C9A"/>
    <w:rsid w:val="00862DF0"/>
    <w:rsid w:val="008642E2"/>
    <w:rsid w:val="00864958"/>
    <w:rsid w:val="00864FD0"/>
    <w:rsid w:val="00866F93"/>
    <w:rsid w:val="008704B5"/>
    <w:rsid w:val="00872743"/>
    <w:rsid w:val="00873705"/>
    <w:rsid w:val="00873C7E"/>
    <w:rsid w:val="00874A4E"/>
    <w:rsid w:val="00874F49"/>
    <w:rsid w:val="00875FC0"/>
    <w:rsid w:val="0087671D"/>
    <w:rsid w:val="00880808"/>
    <w:rsid w:val="0088525B"/>
    <w:rsid w:val="00887272"/>
    <w:rsid w:val="00890625"/>
    <w:rsid w:val="00892FB5"/>
    <w:rsid w:val="0089301A"/>
    <w:rsid w:val="00894926"/>
    <w:rsid w:val="008951DF"/>
    <w:rsid w:val="008973D5"/>
    <w:rsid w:val="008A46B9"/>
    <w:rsid w:val="008B0E8A"/>
    <w:rsid w:val="008B5107"/>
    <w:rsid w:val="008C156C"/>
    <w:rsid w:val="008C4C98"/>
    <w:rsid w:val="008C67B0"/>
    <w:rsid w:val="008D0C28"/>
    <w:rsid w:val="008D1003"/>
    <w:rsid w:val="008D2591"/>
    <w:rsid w:val="008D26F2"/>
    <w:rsid w:val="008D29E8"/>
    <w:rsid w:val="008D54EB"/>
    <w:rsid w:val="008E1CCD"/>
    <w:rsid w:val="008E49AC"/>
    <w:rsid w:val="008E51D0"/>
    <w:rsid w:val="008E62DC"/>
    <w:rsid w:val="008F4478"/>
    <w:rsid w:val="008F5DF0"/>
    <w:rsid w:val="008F684B"/>
    <w:rsid w:val="008F7584"/>
    <w:rsid w:val="00901047"/>
    <w:rsid w:val="00902389"/>
    <w:rsid w:val="00904A70"/>
    <w:rsid w:val="00907D52"/>
    <w:rsid w:val="0091453D"/>
    <w:rsid w:val="009153C6"/>
    <w:rsid w:val="009154B5"/>
    <w:rsid w:val="00917C3F"/>
    <w:rsid w:val="009210EE"/>
    <w:rsid w:val="0092203D"/>
    <w:rsid w:val="00922218"/>
    <w:rsid w:val="009247B5"/>
    <w:rsid w:val="00931577"/>
    <w:rsid w:val="009348F6"/>
    <w:rsid w:val="00935E33"/>
    <w:rsid w:val="009361D6"/>
    <w:rsid w:val="00941D7B"/>
    <w:rsid w:val="00942CFB"/>
    <w:rsid w:val="0094418E"/>
    <w:rsid w:val="00950656"/>
    <w:rsid w:val="0095265C"/>
    <w:rsid w:val="00953793"/>
    <w:rsid w:val="00955EE2"/>
    <w:rsid w:val="009566C7"/>
    <w:rsid w:val="00962C98"/>
    <w:rsid w:val="00962F1E"/>
    <w:rsid w:val="009633A4"/>
    <w:rsid w:val="00963EF3"/>
    <w:rsid w:val="0096477D"/>
    <w:rsid w:val="00965A88"/>
    <w:rsid w:val="0097297E"/>
    <w:rsid w:val="00973A32"/>
    <w:rsid w:val="00974C46"/>
    <w:rsid w:val="009757F2"/>
    <w:rsid w:val="00982630"/>
    <w:rsid w:val="00982905"/>
    <w:rsid w:val="00985730"/>
    <w:rsid w:val="0099460B"/>
    <w:rsid w:val="00997F11"/>
    <w:rsid w:val="009A536A"/>
    <w:rsid w:val="009A608B"/>
    <w:rsid w:val="009B1A5C"/>
    <w:rsid w:val="009C266E"/>
    <w:rsid w:val="009C4D3D"/>
    <w:rsid w:val="009C5629"/>
    <w:rsid w:val="009C703B"/>
    <w:rsid w:val="009C7B32"/>
    <w:rsid w:val="009D28D4"/>
    <w:rsid w:val="009E04CD"/>
    <w:rsid w:val="009E1637"/>
    <w:rsid w:val="009E29BC"/>
    <w:rsid w:val="009E39B2"/>
    <w:rsid w:val="009F77DF"/>
    <w:rsid w:val="00A009AE"/>
    <w:rsid w:val="00A01879"/>
    <w:rsid w:val="00A06E79"/>
    <w:rsid w:val="00A07B09"/>
    <w:rsid w:val="00A1148C"/>
    <w:rsid w:val="00A120C3"/>
    <w:rsid w:val="00A12431"/>
    <w:rsid w:val="00A146BC"/>
    <w:rsid w:val="00A21434"/>
    <w:rsid w:val="00A217A3"/>
    <w:rsid w:val="00A21CBA"/>
    <w:rsid w:val="00A22A7F"/>
    <w:rsid w:val="00A2472B"/>
    <w:rsid w:val="00A25533"/>
    <w:rsid w:val="00A25CBA"/>
    <w:rsid w:val="00A27F5E"/>
    <w:rsid w:val="00A30E8F"/>
    <w:rsid w:val="00A323E8"/>
    <w:rsid w:val="00A34CFA"/>
    <w:rsid w:val="00A36EA3"/>
    <w:rsid w:val="00A370AA"/>
    <w:rsid w:val="00A37B27"/>
    <w:rsid w:val="00A404D3"/>
    <w:rsid w:val="00A43222"/>
    <w:rsid w:val="00A44E5F"/>
    <w:rsid w:val="00A47149"/>
    <w:rsid w:val="00A51A53"/>
    <w:rsid w:val="00A51E73"/>
    <w:rsid w:val="00A52C7A"/>
    <w:rsid w:val="00A53497"/>
    <w:rsid w:val="00A56873"/>
    <w:rsid w:val="00A56BC2"/>
    <w:rsid w:val="00A6032E"/>
    <w:rsid w:val="00A6080B"/>
    <w:rsid w:val="00A614AA"/>
    <w:rsid w:val="00A614EB"/>
    <w:rsid w:val="00A618DA"/>
    <w:rsid w:val="00A61BA1"/>
    <w:rsid w:val="00A62539"/>
    <w:rsid w:val="00A65965"/>
    <w:rsid w:val="00A66B1B"/>
    <w:rsid w:val="00A6754E"/>
    <w:rsid w:val="00A72CBF"/>
    <w:rsid w:val="00A80BA1"/>
    <w:rsid w:val="00A820BC"/>
    <w:rsid w:val="00A83984"/>
    <w:rsid w:val="00A83C27"/>
    <w:rsid w:val="00A84A94"/>
    <w:rsid w:val="00A85F9C"/>
    <w:rsid w:val="00A87DFE"/>
    <w:rsid w:val="00A95B72"/>
    <w:rsid w:val="00AA0E3D"/>
    <w:rsid w:val="00AA1344"/>
    <w:rsid w:val="00AA5A73"/>
    <w:rsid w:val="00AA62F7"/>
    <w:rsid w:val="00AA64B2"/>
    <w:rsid w:val="00AA7C33"/>
    <w:rsid w:val="00AB19F8"/>
    <w:rsid w:val="00AB1CFC"/>
    <w:rsid w:val="00AB2243"/>
    <w:rsid w:val="00AB2A20"/>
    <w:rsid w:val="00AC3B3F"/>
    <w:rsid w:val="00AD0B84"/>
    <w:rsid w:val="00AD5106"/>
    <w:rsid w:val="00AD7AC4"/>
    <w:rsid w:val="00AE0A9E"/>
    <w:rsid w:val="00AE2339"/>
    <w:rsid w:val="00AE24BB"/>
    <w:rsid w:val="00AE4987"/>
    <w:rsid w:val="00AF1459"/>
    <w:rsid w:val="00AF551A"/>
    <w:rsid w:val="00AF5E96"/>
    <w:rsid w:val="00AF7082"/>
    <w:rsid w:val="00B005A9"/>
    <w:rsid w:val="00B00F73"/>
    <w:rsid w:val="00B0291B"/>
    <w:rsid w:val="00B041D7"/>
    <w:rsid w:val="00B04EFA"/>
    <w:rsid w:val="00B05129"/>
    <w:rsid w:val="00B0522D"/>
    <w:rsid w:val="00B056F1"/>
    <w:rsid w:val="00B07E8E"/>
    <w:rsid w:val="00B101D8"/>
    <w:rsid w:val="00B1220F"/>
    <w:rsid w:val="00B1221B"/>
    <w:rsid w:val="00B1246E"/>
    <w:rsid w:val="00B1293B"/>
    <w:rsid w:val="00B140BC"/>
    <w:rsid w:val="00B1606A"/>
    <w:rsid w:val="00B16D1E"/>
    <w:rsid w:val="00B174B2"/>
    <w:rsid w:val="00B177CE"/>
    <w:rsid w:val="00B2228F"/>
    <w:rsid w:val="00B2425D"/>
    <w:rsid w:val="00B24974"/>
    <w:rsid w:val="00B24C23"/>
    <w:rsid w:val="00B2517E"/>
    <w:rsid w:val="00B346E1"/>
    <w:rsid w:val="00B42026"/>
    <w:rsid w:val="00B44EA6"/>
    <w:rsid w:val="00B47A0F"/>
    <w:rsid w:val="00B6043C"/>
    <w:rsid w:val="00B60AA7"/>
    <w:rsid w:val="00B618DA"/>
    <w:rsid w:val="00B61EFC"/>
    <w:rsid w:val="00B633FE"/>
    <w:rsid w:val="00B64802"/>
    <w:rsid w:val="00B650A4"/>
    <w:rsid w:val="00B6688C"/>
    <w:rsid w:val="00B66DA2"/>
    <w:rsid w:val="00B674D8"/>
    <w:rsid w:val="00B6794E"/>
    <w:rsid w:val="00B7604A"/>
    <w:rsid w:val="00B81098"/>
    <w:rsid w:val="00B814B2"/>
    <w:rsid w:val="00B829CD"/>
    <w:rsid w:val="00B8491A"/>
    <w:rsid w:val="00B86856"/>
    <w:rsid w:val="00B86EFA"/>
    <w:rsid w:val="00B87F8A"/>
    <w:rsid w:val="00B92F5A"/>
    <w:rsid w:val="00B969DB"/>
    <w:rsid w:val="00B971FB"/>
    <w:rsid w:val="00BA1146"/>
    <w:rsid w:val="00BA4285"/>
    <w:rsid w:val="00BA747A"/>
    <w:rsid w:val="00BA765F"/>
    <w:rsid w:val="00BB112C"/>
    <w:rsid w:val="00BB1E70"/>
    <w:rsid w:val="00BB41C7"/>
    <w:rsid w:val="00BC0160"/>
    <w:rsid w:val="00BC06DC"/>
    <w:rsid w:val="00BC0EC3"/>
    <w:rsid w:val="00BC2805"/>
    <w:rsid w:val="00BC3F26"/>
    <w:rsid w:val="00BC4DD7"/>
    <w:rsid w:val="00BD0976"/>
    <w:rsid w:val="00BD1AB0"/>
    <w:rsid w:val="00BD395E"/>
    <w:rsid w:val="00BD49E9"/>
    <w:rsid w:val="00BD60FD"/>
    <w:rsid w:val="00BD729C"/>
    <w:rsid w:val="00BE1E1C"/>
    <w:rsid w:val="00BE2CF2"/>
    <w:rsid w:val="00BE3057"/>
    <w:rsid w:val="00BE3C0E"/>
    <w:rsid w:val="00BF17D0"/>
    <w:rsid w:val="00BF3B5A"/>
    <w:rsid w:val="00BF5D57"/>
    <w:rsid w:val="00C02FAA"/>
    <w:rsid w:val="00C0592E"/>
    <w:rsid w:val="00C06753"/>
    <w:rsid w:val="00C12C09"/>
    <w:rsid w:val="00C26469"/>
    <w:rsid w:val="00C2792B"/>
    <w:rsid w:val="00C30C8B"/>
    <w:rsid w:val="00C32E94"/>
    <w:rsid w:val="00C35342"/>
    <w:rsid w:val="00C356E3"/>
    <w:rsid w:val="00C35C2E"/>
    <w:rsid w:val="00C379BE"/>
    <w:rsid w:val="00C4082F"/>
    <w:rsid w:val="00C41628"/>
    <w:rsid w:val="00C42442"/>
    <w:rsid w:val="00C429A5"/>
    <w:rsid w:val="00C4371E"/>
    <w:rsid w:val="00C43D30"/>
    <w:rsid w:val="00C4417D"/>
    <w:rsid w:val="00C466AF"/>
    <w:rsid w:val="00C46C77"/>
    <w:rsid w:val="00C473B7"/>
    <w:rsid w:val="00C50CBF"/>
    <w:rsid w:val="00C61007"/>
    <w:rsid w:val="00C62A6D"/>
    <w:rsid w:val="00C62FED"/>
    <w:rsid w:val="00C63D55"/>
    <w:rsid w:val="00C65F67"/>
    <w:rsid w:val="00C663D2"/>
    <w:rsid w:val="00C71B16"/>
    <w:rsid w:val="00C74DDA"/>
    <w:rsid w:val="00C76F0E"/>
    <w:rsid w:val="00C77F2B"/>
    <w:rsid w:val="00C8118F"/>
    <w:rsid w:val="00C84B02"/>
    <w:rsid w:val="00C856C8"/>
    <w:rsid w:val="00C86795"/>
    <w:rsid w:val="00C91B73"/>
    <w:rsid w:val="00C93605"/>
    <w:rsid w:val="00C94871"/>
    <w:rsid w:val="00C94EC9"/>
    <w:rsid w:val="00C95742"/>
    <w:rsid w:val="00C96C34"/>
    <w:rsid w:val="00CA147C"/>
    <w:rsid w:val="00CA38D3"/>
    <w:rsid w:val="00CA4373"/>
    <w:rsid w:val="00CA5B42"/>
    <w:rsid w:val="00CB02CD"/>
    <w:rsid w:val="00CB103E"/>
    <w:rsid w:val="00CB2DF6"/>
    <w:rsid w:val="00CB473D"/>
    <w:rsid w:val="00CB530A"/>
    <w:rsid w:val="00CB714F"/>
    <w:rsid w:val="00CC0BBA"/>
    <w:rsid w:val="00CC1B20"/>
    <w:rsid w:val="00CC399B"/>
    <w:rsid w:val="00CC4690"/>
    <w:rsid w:val="00CC5BA0"/>
    <w:rsid w:val="00CC5D9D"/>
    <w:rsid w:val="00CC742D"/>
    <w:rsid w:val="00CD09DC"/>
    <w:rsid w:val="00CD2758"/>
    <w:rsid w:val="00CD5DC8"/>
    <w:rsid w:val="00CD6BFA"/>
    <w:rsid w:val="00CE0629"/>
    <w:rsid w:val="00CE2C30"/>
    <w:rsid w:val="00CE32B1"/>
    <w:rsid w:val="00CE4CF2"/>
    <w:rsid w:val="00CE4FD0"/>
    <w:rsid w:val="00CE5EF0"/>
    <w:rsid w:val="00CE743C"/>
    <w:rsid w:val="00CF0783"/>
    <w:rsid w:val="00CF11EB"/>
    <w:rsid w:val="00CF1409"/>
    <w:rsid w:val="00CF1A78"/>
    <w:rsid w:val="00CF4BF5"/>
    <w:rsid w:val="00CF5FEB"/>
    <w:rsid w:val="00CF6757"/>
    <w:rsid w:val="00D022D5"/>
    <w:rsid w:val="00D03B92"/>
    <w:rsid w:val="00D0648C"/>
    <w:rsid w:val="00D07188"/>
    <w:rsid w:val="00D071E0"/>
    <w:rsid w:val="00D1044C"/>
    <w:rsid w:val="00D118BE"/>
    <w:rsid w:val="00D15B2C"/>
    <w:rsid w:val="00D22A69"/>
    <w:rsid w:val="00D23B34"/>
    <w:rsid w:val="00D25F8C"/>
    <w:rsid w:val="00D266BC"/>
    <w:rsid w:val="00D306DF"/>
    <w:rsid w:val="00D316BD"/>
    <w:rsid w:val="00D31CB7"/>
    <w:rsid w:val="00D3224F"/>
    <w:rsid w:val="00D32E5A"/>
    <w:rsid w:val="00D3763D"/>
    <w:rsid w:val="00D43DCD"/>
    <w:rsid w:val="00D44AF7"/>
    <w:rsid w:val="00D4558E"/>
    <w:rsid w:val="00D46BBD"/>
    <w:rsid w:val="00D50254"/>
    <w:rsid w:val="00D51259"/>
    <w:rsid w:val="00D55EAB"/>
    <w:rsid w:val="00D601D5"/>
    <w:rsid w:val="00D609BB"/>
    <w:rsid w:val="00D63814"/>
    <w:rsid w:val="00D76238"/>
    <w:rsid w:val="00D80276"/>
    <w:rsid w:val="00D82E02"/>
    <w:rsid w:val="00D8483C"/>
    <w:rsid w:val="00D8507F"/>
    <w:rsid w:val="00D86DFF"/>
    <w:rsid w:val="00D93EBF"/>
    <w:rsid w:val="00DA59EF"/>
    <w:rsid w:val="00DA612E"/>
    <w:rsid w:val="00DB1C25"/>
    <w:rsid w:val="00DB239D"/>
    <w:rsid w:val="00DB5DFB"/>
    <w:rsid w:val="00DB76F4"/>
    <w:rsid w:val="00DC04F4"/>
    <w:rsid w:val="00DC15BA"/>
    <w:rsid w:val="00DC2937"/>
    <w:rsid w:val="00DC333D"/>
    <w:rsid w:val="00DC3DE2"/>
    <w:rsid w:val="00DC4526"/>
    <w:rsid w:val="00DC4642"/>
    <w:rsid w:val="00DC6A2A"/>
    <w:rsid w:val="00DC6B80"/>
    <w:rsid w:val="00DD5185"/>
    <w:rsid w:val="00DD7B7A"/>
    <w:rsid w:val="00DE1714"/>
    <w:rsid w:val="00DE1F95"/>
    <w:rsid w:val="00DE2616"/>
    <w:rsid w:val="00DE2B50"/>
    <w:rsid w:val="00DF6D16"/>
    <w:rsid w:val="00DF744A"/>
    <w:rsid w:val="00DF7AEB"/>
    <w:rsid w:val="00E01542"/>
    <w:rsid w:val="00E03DF4"/>
    <w:rsid w:val="00E11C89"/>
    <w:rsid w:val="00E12531"/>
    <w:rsid w:val="00E12749"/>
    <w:rsid w:val="00E20405"/>
    <w:rsid w:val="00E2251C"/>
    <w:rsid w:val="00E2495A"/>
    <w:rsid w:val="00E2509D"/>
    <w:rsid w:val="00E25576"/>
    <w:rsid w:val="00E26937"/>
    <w:rsid w:val="00E30840"/>
    <w:rsid w:val="00E30994"/>
    <w:rsid w:val="00E30CE0"/>
    <w:rsid w:val="00E32E11"/>
    <w:rsid w:val="00E3648B"/>
    <w:rsid w:val="00E36933"/>
    <w:rsid w:val="00E3761D"/>
    <w:rsid w:val="00E401BB"/>
    <w:rsid w:val="00E42393"/>
    <w:rsid w:val="00E426C1"/>
    <w:rsid w:val="00E461B9"/>
    <w:rsid w:val="00E464C0"/>
    <w:rsid w:val="00E47201"/>
    <w:rsid w:val="00E5182B"/>
    <w:rsid w:val="00E51A7B"/>
    <w:rsid w:val="00E546B5"/>
    <w:rsid w:val="00E54DCB"/>
    <w:rsid w:val="00E54E5E"/>
    <w:rsid w:val="00E56CEA"/>
    <w:rsid w:val="00E57480"/>
    <w:rsid w:val="00E616A5"/>
    <w:rsid w:val="00E71741"/>
    <w:rsid w:val="00E73AFF"/>
    <w:rsid w:val="00E743AB"/>
    <w:rsid w:val="00E74F8E"/>
    <w:rsid w:val="00E76265"/>
    <w:rsid w:val="00E76A71"/>
    <w:rsid w:val="00E81CD6"/>
    <w:rsid w:val="00E8288D"/>
    <w:rsid w:val="00E83044"/>
    <w:rsid w:val="00E830D7"/>
    <w:rsid w:val="00E834AB"/>
    <w:rsid w:val="00E85DA8"/>
    <w:rsid w:val="00E85F3E"/>
    <w:rsid w:val="00E8630E"/>
    <w:rsid w:val="00E915DE"/>
    <w:rsid w:val="00E92995"/>
    <w:rsid w:val="00E9353A"/>
    <w:rsid w:val="00E93FB7"/>
    <w:rsid w:val="00E9464A"/>
    <w:rsid w:val="00E948B4"/>
    <w:rsid w:val="00E94A09"/>
    <w:rsid w:val="00E9583F"/>
    <w:rsid w:val="00E95C96"/>
    <w:rsid w:val="00E979B1"/>
    <w:rsid w:val="00EA30F3"/>
    <w:rsid w:val="00EA3431"/>
    <w:rsid w:val="00EA37DC"/>
    <w:rsid w:val="00EA4F1A"/>
    <w:rsid w:val="00EA586E"/>
    <w:rsid w:val="00EA5DEA"/>
    <w:rsid w:val="00EB03A9"/>
    <w:rsid w:val="00EB1502"/>
    <w:rsid w:val="00EB7D89"/>
    <w:rsid w:val="00EB7FDD"/>
    <w:rsid w:val="00EC00A3"/>
    <w:rsid w:val="00EE0EDB"/>
    <w:rsid w:val="00EE15ED"/>
    <w:rsid w:val="00EE42DA"/>
    <w:rsid w:val="00EE4FE8"/>
    <w:rsid w:val="00EE5FB8"/>
    <w:rsid w:val="00EE6BF3"/>
    <w:rsid w:val="00EF06E0"/>
    <w:rsid w:val="00EF3789"/>
    <w:rsid w:val="00EF3D5E"/>
    <w:rsid w:val="00EF5826"/>
    <w:rsid w:val="00EF5DCB"/>
    <w:rsid w:val="00EF736B"/>
    <w:rsid w:val="00F01FC5"/>
    <w:rsid w:val="00F04274"/>
    <w:rsid w:val="00F04831"/>
    <w:rsid w:val="00F058C5"/>
    <w:rsid w:val="00F065C3"/>
    <w:rsid w:val="00F11035"/>
    <w:rsid w:val="00F110F7"/>
    <w:rsid w:val="00F11814"/>
    <w:rsid w:val="00F21031"/>
    <w:rsid w:val="00F2410F"/>
    <w:rsid w:val="00F24251"/>
    <w:rsid w:val="00F278A7"/>
    <w:rsid w:val="00F31C45"/>
    <w:rsid w:val="00F40931"/>
    <w:rsid w:val="00F409D8"/>
    <w:rsid w:val="00F42514"/>
    <w:rsid w:val="00F425E2"/>
    <w:rsid w:val="00F42ACE"/>
    <w:rsid w:val="00F44289"/>
    <w:rsid w:val="00F44564"/>
    <w:rsid w:val="00F47D4C"/>
    <w:rsid w:val="00F56C67"/>
    <w:rsid w:val="00F56D41"/>
    <w:rsid w:val="00F64978"/>
    <w:rsid w:val="00F64FC9"/>
    <w:rsid w:val="00F66665"/>
    <w:rsid w:val="00F7094E"/>
    <w:rsid w:val="00F7397D"/>
    <w:rsid w:val="00F76FB5"/>
    <w:rsid w:val="00F806F5"/>
    <w:rsid w:val="00F82181"/>
    <w:rsid w:val="00F8225C"/>
    <w:rsid w:val="00F83023"/>
    <w:rsid w:val="00F853F1"/>
    <w:rsid w:val="00F86483"/>
    <w:rsid w:val="00F86DC4"/>
    <w:rsid w:val="00F90C89"/>
    <w:rsid w:val="00F91481"/>
    <w:rsid w:val="00F9289A"/>
    <w:rsid w:val="00F935C4"/>
    <w:rsid w:val="00F94042"/>
    <w:rsid w:val="00F95144"/>
    <w:rsid w:val="00FA2248"/>
    <w:rsid w:val="00FA5070"/>
    <w:rsid w:val="00FA53A1"/>
    <w:rsid w:val="00FA6179"/>
    <w:rsid w:val="00FA70F2"/>
    <w:rsid w:val="00FB1D0A"/>
    <w:rsid w:val="00FB2ED5"/>
    <w:rsid w:val="00FB3341"/>
    <w:rsid w:val="00FB421D"/>
    <w:rsid w:val="00FB5E0C"/>
    <w:rsid w:val="00FB77E5"/>
    <w:rsid w:val="00FB7D52"/>
    <w:rsid w:val="00FC073D"/>
    <w:rsid w:val="00FC3388"/>
    <w:rsid w:val="00FC6465"/>
    <w:rsid w:val="00FD5A5A"/>
    <w:rsid w:val="00FD609D"/>
    <w:rsid w:val="00FD6606"/>
    <w:rsid w:val="00FE11B1"/>
    <w:rsid w:val="00FE1B35"/>
    <w:rsid w:val="00FE1F7F"/>
    <w:rsid w:val="00FE39C3"/>
    <w:rsid w:val="00FE4018"/>
    <w:rsid w:val="00FF21F2"/>
    <w:rsid w:val="00FF4956"/>
    <w:rsid w:val="00FF5497"/>
    <w:rsid w:val="00FF6F01"/>
    <w:rsid w:val="00FF7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ules>
    </o:shapelayout>
  </w:shapeDefaults>
  <w:decimalSymbol w:val="."/>
  <w:listSeparator w:val=","/>
  <w14:docId w14:val="50602A9D"/>
  <w15:docId w15:val="{514FE6B1-455B-4569-BD0B-004538C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30"/>
    <w:pPr>
      <w:spacing w:before="120" w:after="120"/>
    </w:pPr>
    <w:rPr>
      <w:sz w:val="28"/>
      <w:szCs w:val="22"/>
      <w:lang w:val="vi-VN"/>
    </w:rPr>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sz w:val="20"/>
      <w:szCs w:val="20"/>
      <w:lang w:val="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3F3E72"/>
    <w:pPr>
      <w:spacing w:before="0"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3F3E72"/>
    <w:rPr>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noProof/>
      <w:sz w:val="24"/>
      <w:szCs w:val="24"/>
      <w:lang w:val="en-US"/>
    </w:rPr>
  </w:style>
  <w:style w:type="character" w:customStyle="1" w:styleId="Heading4Char">
    <w:name w:val="Heading 4 Char"/>
    <w:basedOn w:val="DefaultParagraphFont"/>
    <w:link w:val="Heading4"/>
    <w:uiPriority w:val="9"/>
    <w:semiHidden/>
    <w:rsid w:val="008411AC"/>
    <w:rPr>
      <w:rFonts w:ascii="Cambria" w:eastAsia="Times New Roman" w:hAnsi="Cambria" w:cs="Times New Roman"/>
      <w:b/>
      <w:bCs/>
      <w:i/>
      <w:iCs/>
      <w:color w:val="4F81BD"/>
    </w:rPr>
  </w:style>
  <w:style w:type="character" w:styleId="Hyperlink">
    <w:name w:val="Hyperlink"/>
    <w:basedOn w:val="DefaultParagraphFont"/>
    <w:uiPriority w:val="99"/>
    <w:unhideWhenUsed/>
    <w:rsid w:val="00B04EFA"/>
    <w:rPr>
      <w:color w:val="0000FF"/>
      <w:u w:val="single"/>
    </w:rPr>
  </w:style>
  <w:style w:type="paragraph" w:customStyle="1" w:styleId="phead">
    <w:name w:val="phead"/>
    <w:basedOn w:val="Normal"/>
    <w:rsid w:val="00064893"/>
    <w:pPr>
      <w:spacing w:before="100" w:beforeAutospacing="1" w:after="100" w:afterAutospacing="1"/>
    </w:pPr>
    <w:rPr>
      <w:rFonts w:eastAsia="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66B1B"/>
    <w:rPr>
      <w:rFonts w:cs="Times New Roman"/>
      <w:sz w:val="24"/>
      <w:szCs w:val="24"/>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BA1146"/>
    <w:pPr>
      <w:spacing w:before="0" w:after="0"/>
      <w:ind w:firstLine="851"/>
      <w:jc w:val="both"/>
    </w:pPr>
    <w:rPr>
      <w:rFonts w:ascii=".VnTime" w:eastAsia="Times New Roman" w:hAnsi=".VnTime"/>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BA1146"/>
    <w:rPr>
      <w:rFonts w:ascii=".VnTime" w:eastAsia="Times New Roman" w:hAnsi=".VnTime" w:cs="Times New Roman"/>
      <w:color w:val="0000FF"/>
      <w:sz w:val="26"/>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A0849"/>
    <w:pPr>
      <w:spacing w:before="0" w:after="160" w:line="240" w:lineRule="exact"/>
    </w:pPr>
    <w:rPr>
      <w:vertAlign w:val="superscript"/>
    </w:rPr>
  </w:style>
  <w:style w:type="paragraph" w:styleId="BodyText">
    <w:name w:val="Body Text"/>
    <w:basedOn w:val="Normal"/>
    <w:link w:val="BodyTextChar"/>
    <w:uiPriority w:val="99"/>
    <w:semiHidden/>
    <w:unhideWhenUsed/>
    <w:rsid w:val="006F6A7A"/>
  </w:style>
  <w:style w:type="character" w:customStyle="1" w:styleId="BodyTextChar">
    <w:name w:val="Body Text Char"/>
    <w:basedOn w:val="DefaultParagraphFont"/>
    <w:link w:val="BodyText"/>
    <w:uiPriority w:val="99"/>
    <w:semiHidden/>
    <w:rsid w:val="006F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189269191">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958418314">
      <w:bodyDiv w:val="1"/>
      <w:marLeft w:val="0"/>
      <w:marRight w:val="0"/>
      <w:marTop w:val="0"/>
      <w:marBottom w:val="0"/>
      <w:divBdr>
        <w:top w:val="none" w:sz="0" w:space="0" w:color="auto"/>
        <w:left w:val="none" w:sz="0" w:space="0" w:color="auto"/>
        <w:bottom w:val="none" w:sz="0" w:space="0" w:color="auto"/>
        <w:right w:val="none" w:sz="0" w:space="0" w:color="auto"/>
      </w:divBdr>
    </w:div>
    <w:div w:id="1239631074">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777289680">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2ECDD-A988-4F12-9F54-8CAED01EBFEA}">
  <ds:schemaRefs>
    <ds:schemaRef ds:uri="http://schemas.openxmlformats.org/officeDocument/2006/bibliography"/>
  </ds:schemaRefs>
</ds:datastoreItem>
</file>

<file path=customXml/itemProps2.xml><?xml version="1.0" encoding="utf-8"?>
<ds:datastoreItem xmlns:ds="http://schemas.openxmlformats.org/officeDocument/2006/customXml" ds:itemID="{03CA4077-F0E2-4C55-B1E8-BDFBF4B509C8}"/>
</file>

<file path=customXml/itemProps3.xml><?xml version="1.0" encoding="utf-8"?>
<ds:datastoreItem xmlns:ds="http://schemas.openxmlformats.org/officeDocument/2006/customXml" ds:itemID="{C8BCC79D-2E1A-4D28-A600-CEF557FC905E}"/>
</file>

<file path=customXml/itemProps4.xml><?xml version="1.0" encoding="utf-8"?>
<ds:datastoreItem xmlns:ds="http://schemas.openxmlformats.org/officeDocument/2006/customXml" ds:itemID="{26EAB498-AE6B-45F1-8E0B-F624FB9A65FC}"/>
</file>

<file path=docProps/app.xml><?xml version="1.0" encoding="utf-8"?>
<Properties xmlns="http://schemas.openxmlformats.org/officeDocument/2006/extended-properties" xmlns:vt="http://schemas.openxmlformats.org/officeDocument/2006/docPropsVTypes">
  <Template>Normal</Template>
  <TotalTime>91</TotalTime>
  <Pages>12</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 Thuy Ha</cp:lastModifiedBy>
  <cp:revision>28</cp:revision>
  <cp:lastPrinted>2024-11-19T10:43:00Z</cp:lastPrinted>
  <dcterms:created xsi:type="dcterms:W3CDTF">2024-11-19T03:36:00Z</dcterms:created>
  <dcterms:modified xsi:type="dcterms:W3CDTF">2024-11-23T09:45:00Z</dcterms:modified>
</cp:coreProperties>
</file>